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63366" w14:textId="77777777" w:rsidR="00C93D91" w:rsidRPr="00C93D91" w:rsidRDefault="00C93D91" w:rsidP="00C93D91">
      <w:pPr>
        <w:shd w:val="clear" w:color="auto" w:fill="FFFFFF"/>
        <w:spacing w:after="0" w:line="240" w:lineRule="auto"/>
        <w:rPr>
          <w:rFonts w:ascii="Cambria" w:eastAsia="Times New Roman" w:hAnsi="Cambria" w:cs="Times New Roman"/>
          <w:b/>
          <w:smallCaps/>
          <w:sz w:val="28"/>
          <w:szCs w:val="36"/>
        </w:rPr>
      </w:pPr>
      <w:r w:rsidRPr="00C93D91">
        <w:rPr>
          <w:rFonts w:ascii="Cambria" w:eastAsia="Times New Roman" w:hAnsi="Cambria" w:cs="Times New Roman"/>
          <w:b/>
          <w:smallCaps/>
          <w:sz w:val="28"/>
          <w:szCs w:val="36"/>
        </w:rPr>
        <w:t>School of Business Administration</w:t>
      </w:r>
    </w:p>
    <w:p w14:paraId="33EE9151" w14:textId="77777777" w:rsidR="00C93D91" w:rsidRPr="00C93D91" w:rsidRDefault="00C93D91" w:rsidP="00C93D91">
      <w:pPr>
        <w:shd w:val="clear" w:color="auto" w:fill="FFFFFF"/>
        <w:spacing w:before="120" w:after="0" w:line="240" w:lineRule="auto"/>
        <w:rPr>
          <w:rFonts w:ascii="Cambria" w:eastAsia="Times New Roman" w:hAnsi="Cambria" w:cs="Times New Roman"/>
          <w:b/>
          <w:smallCaps/>
        </w:rPr>
      </w:pPr>
    </w:p>
    <w:p w14:paraId="6249B248" w14:textId="5992A46A" w:rsidR="00C93D91" w:rsidRPr="00C93D91" w:rsidRDefault="00C93D91" w:rsidP="00C93D91">
      <w:pPr>
        <w:shd w:val="clear" w:color="auto" w:fill="FFFFFF"/>
        <w:spacing w:before="120" w:after="0" w:line="240" w:lineRule="auto"/>
        <w:rPr>
          <w:rFonts w:ascii="Cambria" w:eastAsia="Times New Roman" w:hAnsi="Cambria" w:cs="Times New Roman"/>
          <w:sz w:val="28"/>
        </w:rPr>
      </w:pPr>
      <w:r w:rsidRPr="00C93D91">
        <w:rPr>
          <w:rFonts w:ascii="Cambria" w:eastAsia="Times New Roman" w:hAnsi="Cambria" w:cs="Times New Roman"/>
          <w:b/>
          <w:smallCaps/>
        </w:rPr>
        <w:t>Position</w:t>
      </w:r>
      <w:r w:rsidRPr="00C93D91">
        <w:rPr>
          <w:rFonts w:ascii="Cambria" w:eastAsia="Times New Roman" w:hAnsi="Cambria" w:cs="Times New Roman"/>
          <w:b/>
        </w:rPr>
        <w:t xml:space="preserve">:  </w:t>
      </w:r>
      <w:r w:rsidR="006C42DC">
        <w:rPr>
          <w:rFonts w:ascii="Cambria" w:eastAsia="Times New Roman" w:hAnsi="Cambria" w:cs="Times New Roman"/>
          <w:b/>
        </w:rPr>
        <w:t xml:space="preserve">Assistant </w:t>
      </w:r>
      <w:r w:rsidR="006C42DC" w:rsidRPr="00C93D91">
        <w:rPr>
          <w:rFonts w:ascii="Cambria" w:eastAsia="Times New Roman" w:hAnsi="Cambria" w:cs="Times New Roman"/>
          <w:b/>
        </w:rPr>
        <w:t xml:space="preserve">Professor of Practice in </w:t>
      </w:r>
      <w:r w:rsidR="006C42DC">
        <w:rPr>
          <w:rFonts w:ascii="Cambria" w:eastAsia="Times New Roman" w:hAnsi="Cambria" w:cs="Times New Roman"/>
          <w:b/>
        </w:rPr>
        <w:t>Entrepreneurship</w:t>
      </w:r>
      <w:r w:rsidR="005C0B8C">
        <w:rPr>
          <w:rFonts w:ascii="Cambria" w:eastAsia="Times New Roman" w:hAnsi="Cambria" w:cs="Times New Roman"/>
          <w:b/>
        </w:rPr>
        <w:t>/Director of the Joseph C. Prince Entrepreneurship Program</w:t>
      </w:r>
    </w:p>
    <w:p w14:paraId="259ACF07" w14:textId="5A2C982F" w:rsidR="005E4982" w:rsidRDefault="4426F7B5" w:rsidP="005E4982">
      <w:pPr>
        <w:spacing w:before="120"/>
        <w:rPr>
          <w:rFonts w:ascii="Cambria" w:eastAsia="Times New Roman" w:hAnsi="Cambria" w:cs="Times New Roman"/>
        </w:rPr>
      </w:pPr>
      <w:r w:rsidRPr="73E66638">
        <w:rPr>
          <w:rFonts w:ascii="Cambria" w:eastAsia="Times New Roman" w:hAnsi="Cambria" w:cs="Times New Roman"/>
        </w:rPr>
        <w:t>Stetson University’s School of Business Administration seeks applicants and nominations for a full-time,</w:t>
      </w:r>
      <w:r w:rsidR="00F258F0">
        <w:rPr>
          <w:rFonts w:ascii="Cambria" w:eastAsia="Times New Roman" w:hAnsi="Cambria" w:cs="Times New Roman"/>
        </w:rPr>
        <w:t xml:space="preserve"> </w:t>
      </w:r>
      <w:r w:rsidR="007836DE">
        <w:rPr>
          <w:rFonts w:ascii="Cambria" w:eastAsia="Times New Roman" w:hAnsi="Cambria" w:cs="Times New Roman"/>
        </w:rPr>
        <w:t>two (</w:t>
      </w:r>
      <w:r w:rsidR="00F258F0">
        <w:rPr>
          <w:rFonts w:ascii="Cambria" w:eastAsia="Times New Roman" w:hAnsi="Cambria" w:cs="Times New Roman"/>
        </w:rPr>
        <w:t>2</w:t>
      </w:r>
      <w:r w:rsidR="007836DE">
        <w:rPr>
          <w:rFonts w:ascii="Cambria" w:eastAsia="Times New Roman" w:hAnsi="Cambria" w:cs="Times New Roman"/>
        </w:rPr>
        <w:t>)</w:t>
      </w:r>
      <w:r w:rsidR="00F258F0">
        <w:rPr>
          <w:rFonts w:ascii="Cambria" w:eastAsia="Times New Roman" w:hAnsi="Cambria" w:cs="Times New Roman"/>
        </w:rPr>
        <w:t xml:space="preserve"> year, renewable</w:t>
      </w:r>
      <w:r w:rsidR="00B573D5">
        <w:rPr>
          <w:rFonts w:ascii="Cambria" w:eastAsia="Times New Roman" w:hAnsi="Cambria" w:cs="Times New Roman"/>
        </w:rPr>
        <w:t>,</w:t>
      </w:r>
      <w:r w:rsidR="00F258F0">
        <w:rPr>
          <w:rFonts w:ascii="Cambria" w:eastAsia="Times New Roman" w:hAnsi="Cambria" w:cs="Times New Roman"/>
        </w:rPr>
        <w:t xml:space="preserve"> initial</w:t>
      </w:r>
      <w:r w:rsidRPr="73E66638">
        <w:rPr>
          <w:rFonts w:ascii="Cambria" w:eastAsia="Times New Roman" w:hAnsi="Cambria" w:cs="Times New Roman"/>
        </w:rPr>
        <w:t xml:space="preserve"> faculty appointment in </w:t>
      </w:r>
      <w:r w:rsidR="15DB7897" w:rsidRPr="73E66638">
        <w:rPr>
          <w:rFonts w:ascii="Cambria" w:eastAsia="Times New Roman" w:hAnsi="Cambria" w:cs="Times New Roman"/>
        </w:rPr>
        <w:t>Entrepreneurship</w:t>
      </w:r>
      <w:r w:rsidR="3EFB3104" w:rsidRPr="73E66638">
        <w:rPr>
          <w:rFonts w:ascii="Cambria" w:eastAsia="Times New Roman" w:hAnsi="Cambria" w:cs="Times New Roman"/>
        </w:rPr>
        <w:t xml:space="preserve"> </w:t>
      </w:r>
      <w:r w:rsidRPr="73E66638">
        <w:rPr>
          <w:rFonts w:ascii="Cambria" w:eastAsia="Times New Roman" w:hAnsi="Cambria" w:cs="Times New Roman"/>
        </w:rPr>
        <w:t xml:space="preserve">at the rank of </w:t>
      </w:r>
      <w:r w:rsidR="3EFB3104" w:rsidRPr="73E66638">
        <w:rPr>
          <w:rFonts w:ascii="Cambria" w:eastAsia="Times New Roman" w:hAnsi="Cambria" w:cs="Times New Roman"/>
        </w:rPr>
        <w:t xml:space="preserve">Assistant </w:t>
      </w:r>
      <w:r w:rsidRPr="73E66638">
        <w:rPr>
          <w:rFonts w:ascii="Cambria" w:eastAsia="Times New Roman" w:hAnsi="Cambria" w:cs="Times New Roman"/>
        </w:rPr>
        <w:t xml:space="preserve">Professor of Practice (non-tenure track). </w:t>
      </w:r>
      <w:r w:rsidR="50AA6CA0" w:rsidRPr="73E66638">
        <w:rPr>
          <w:rFonts w:ascii="Cambria" w:eastAsia="Times New Roman" w:hAnsi="Cambria" w:cs="Times New Roman"/>
        </w:rPr>
        <w:t>The successful candidate will additionally hold the title of D</w:t>
      </w:r>
      <w:r w:rsidR="68A74690" w:rsidRPr="73E66638">
        <w:rPr>
          <w:rFonts w:ascii="Cambria" w:eastAsia="Times New Roman" w:hAnsi="Cambria" w:cs="Times New Roman"/>
        </w:rPr>
        <w:t>irector of the award-winning</w:t>
      </w:r>
      <w:r w:rsidR="59C001F9" w:rsidRPr="73E66638">
        <w:rPr>
          <w:rFonts w:ascii="Cambria" w:eastAsia="Times New Roman" w:hAnsi="Cambria" w:cs="Times New Roman"/>
        </w:rPr>
        <w:t>, endowed</w:t>
      </w:r>
      <w:r w:rsidR="68A74690" w:rsidRPr="73E66638">
        <w:rPr>
          <w:rFonts w:ascii="Cambria" w:eastAsia="Times New Roman" w:hAnsi="Cambria" w:cs="Times New Roman"/>
        </w:rPr>
        <w:t xml:space="preserve"> </w:t>
      </w:r>
      <w:r w:rsidR="0B539D7E" w:rsidRPr="73E66638">
        <w:rPr>
          <w:rFonts w:ascii="Cambria" w:eastAsia="Times New Roman" w:hAnsi="Cambria" w:cs="Times New Roman"/>
        </w:rPr>
        <w:t xml:space="preserve">Joseph C. </w:t>
      </w:r>
      <w:r w:rsidR="68A74690" w:rsidRPr="73E66638">
        <w:rPr>
          <w:rFonts w:ascii="Cambria" w:eastAsia="Times New Roman" w:hAnsi="Cambria" w:cs="Times New Roman"/>
        </w:rPr>
        <w:t xml:space="preserve">Prince Entrepreneurship </w:t>
      </w:r>
      <w:r w:rsidR="7EE45C05" w:rsidRPr="73E66638">
        <w:rPr>
          <w:rFonts w:ascii="Cambria" w:eastAsia="Times New Roman" w:hAnsi="Cambria" w:cs="Times New Roman"/>
        </w:rPr>
        <w:t>P</w:t>
      </w:r>
      <w:r w:rsidR="68A74690" w:rsidRPr="73E66638">
        <w:rPr>
          <w:rFonts w:ascii="Cambria" w:eastAsia="Times New Roman" w:hAnsi="Cambria" w:cs="Times New Roman"/>
        </w:rPr>
        <w:t>rogram</w:t>
      </w:r>
      <w:r w:rsidR="50AA6CA0" w:rsidRPr="73E66638">
        <w:rPr>
          <w:rFonts w:ascii="Cambria" w:eastAsia="Times New Roman" w:hAnsi="Cambria" w:cs="Times New Roman"/>
        </w:rPr>
        <w:t xml:space="preserve">. </w:t>
      </w:r>
      <w:r w:rsidR="29B944FC" w:rsidRPr="73E66638">
        <w:rPr>
          <w:rFonts w:ascii="Cambria" w:eastAsia="Times New Roman" w:hAnsi="Cambria" w:cs="Times New Roman"/>
        </w:rPr>
        <w:t>The individual hired will be located at Stetson’s DeLand, Florida, campus but teaching responsibilities may include</w:t>
      </w:r>
      <w:r w:rsidR="6EFED0FC" w:rsidRPr="73E66638">
        <w:rPr>
          <w:rFonts w:ascii="Cambria" w:eastAsia="Times New Roman" w:hAnsi="Cambria" w:cs="Times New Roman"/>
        </w:rPr>
        <w:t xml:space="preserve"> </w:t>
      </w:r>
      <w:r w:rsidR="29B944FC" w:rsidRPr="73E66638">
        <w:rPr>
          <w:rFonts w:ascii="Cambria" w:eastAsia="Times New Roman" w:hAnsi="Cambria" w:cs="Times New Roman"/>
        </w:rPr>
        <w:t>teaching courses online or in a hybrid format.</w:t>
      </w:r>
    </w:p>
    <w:p w14:paraId="5889B290" w14:textId="1FCC181C" w:rsidR="00C93D91" w:rsidRPr="005A3E3E" w:rsidRDefault="00C93D91" w:rsidP="00C93D91">
      <w:pPr>
        <w:rPr>
          <w:rFonts w:ascii="Cambria" w:hAnsi="Cambria" w:cs="Times New Roman"/>
          <w:sz w:val="20"/>
        </w:rPr>
      </w:pPr>
      <w:r w:rsidRPr="005A3E3E">
        <w:rPr>
          <w:rFonts w:ascii="Cambria" w:hAnsi="Cambria" w:cs="Times New Roman"/>
        </w:rPr>
        <w:t>The Stetson School of Business</w:t>
      </w:r>
      <w:r w:rsidR="006608B7" w:rsidRPr="005A3E3E">
        <w:rPr>
          <w:rFonts w:ascii="Cambria" w:hAnsi="Cambria" w:cs="Times New Roman"/>
        </w:rPr>
        <w:t xml:space="preserve"> Administration</w:t>
      </w:r>
      <w:r w:rsidRPr="005A3E3E">
        <w:rPr>
          <w:rFonts w:ascii="Cambria" w:hAnsi="Cambria" w:cs="Times New Roman"/>
        </w:rPr>
        <w:t xml:space="preserve"> is an entrepreneurially minded School dedicated to delivering an innovative and comprehensive business curriculum and experience to our students.</w:t>
      </w:r>
      <w:r w:rsidR="00F258F0">
        <w:rPr>
          <w:rFonts w:ascii="Cambria" w:hAnsi="Cambria" w:cs="Times New Roman"/>
        </w:rPr>
        <w:t xml:space="preserve"> </w:t>
      </w:r>
      <w:r w:rsidRPr="005A3E3E">
        <w:rPr>
          <w:rFonts w:ascii="Cambria" w:hAnsi="Cambria" w:cs="Times New Roman"/>
        </w:rPr>
        <w:t xml:space="preserve">Applicants interested in developing distinctive courses and programs that leverage interdisciplinary collaborations and experiential learning within the </w:t>
      </w:r>
      <w:proofErr w:type="gramStart"/>
      <w:r w:rsidRPr="005A3E3E">
        <w:rPr>
          <w:rFonts w:ascii="Cambria" w:hAnsi="Cambria" w:cs="Times New Roman"/>
        </w:rPr>
        <w:t>School</w:t>
      </w:r>
      <w:proofErr w:type="gramEnd"/>
      <w:r w:rsidRPr="005A3E3E">
        <w:rPr>
          <w:rFonts w:ascii="Cambria" w:hAnsi="Cambria" w:cs="Times New Roman"/>
        </w:rPr>
        <w:t xml:space="preserve"> and across the institution are preferred.</w:t>
      </w:r>
    </w:p>
    <w:p w14:paraId="359434A0" w14:textId="77777777" w:rsidR="00C93D91" w:rsidRPr="005A3E3E" w:rsidRDefault="00C93D91" w:rsidP="00C93D91">
      <w:pPr>
        <w:shd w:val="clear" w:color="auto" w:fill="FFFFFF"/>
        <w:spacing w:before="240" w:after="0" w:line="240" w:lineRule="auto"/>
        <w:rPr>
          <w:rFonts w:ascii="Cambria" w:eastAsia="Times New Roman" w:hAnsi="Cambria" w:cs="Times New Roman"/>
          <w:b/>
          <w:bCs/>
          <w:smallCaps/>
        </w:rPr>
      </w:pPr>
      <w:r w:rsidRPr="005A3E3E">
        <w:rPr>
          <w:rFonts w:ascii="Cambria" w:eastAsia="Times New Roman" w:hAnsi="Cambria" w:cs="Times New Roman"/>
          <w:b/>
          <w:bCs/>
          <w:smallCaps/>
        </w:rPr>
        <w:t>Qualifications:</w:t>
      </w:r>
    </w:p>
    <w:p w14:paraId="2E0A8449" w14:textId="38844270" w:rsidR="00633F7C" w:rsidRDefault="00C17E79" w:rsidP="005A3E3E">
      <w:pPr>
        <w:shd w:val="clear" w:color="auto" w:fill="FFFFFF"/>
        <w:spacing w:before="120" w:after="0"/>
        <w:rPr>
          <w:rFonts w:ascii="Cambria" w:eastAsia="Times New Roman" w:hAnsi="Cambria" w:cs="Times New Roman"/>
        </w:rPr>
      </w:pPr>
      <w:r>
        <w:rPr>
          <w:rFonts w:ascii="Cambria" w:eastAsia="Times New Roman" w:hAnsi="Cambria" w:cs="Times New Roman"/>
        </w:rPr>
        <w:t>For this non-tenure track position, c</w:t>
      </w:r>
      <w:r w:rsidR="005A3E3E" w:rsidRPr="005A3E3E">
        <w:rPr>
          <w:rFonts w:ascii="Cambria" w:eastAsia="Times New Roman" w:hAnsi="Cambria" w:cs="Times New Roman"/>
        </w:rPr>
        <w:t xml:space="preserve">andidates </w:t>
      </w:r>
      <w:r w:rsidR="005A3E3E" w:rsidRPr="00F34CDD">
        <w:rPr>
          <w:rFonts w:ascii="Cambria" w:eastAsia="Times New Roman" w:hAnsi="Cambria" w:cs="Times New Roman"/>
        </w:rPr>
        <w:t xml:space="preserve">should have </w:t>
      </w:r>
      <w:r w:rsidR="00F71838" w:rsidRPr="00F34CDD">
        <w:rPr>
          <w:rFonts w:ascii="Cambria" w:eastAsia="Times New Roman" w:hAnsi="Cambria" w:cs="Times New Roman"/>
        </w:rPr>
        <w:t>a m</w:t>
      </w:r>
      <w:r w:rsidR="005A3E3E" w:rsidRPr="00F34CDD">
        <w:rPr>
          <w:rFonts w:ascii="Cambria" w:eastAsia="Times New Roman" w:hAnsi="Cambria" w:cs="Times New Roman"/>
        </w:rPr>
        <w:t>aster</w:t>
      </w:r>
      <w:r w:rsidR="00F71838" w:rsidRPr="00F34CDD">
        <w:rPr>
          <w:rFonts w:ascii="Cambria" w:eastAsia="Times New Roman" w:hAnsi="Cambria" w:cs="Times New Roman"/>
        </w:rPr>
        <w:t>’s</w:t>
      </w:r>
      <w:r w:rsidR="005A3E3E" w:rsidRPr="00F34CDD">
        <w:rPr>
          <w:rFonts w:ascii="Cambria" w:eastAsia="Times New Roman" w:hAnsi="Cambria" w:cs="Times New Roman"/>
        </w:rPr>
        <w:t xml:space="preserve"> degree</w:t>
      </w:r>
      <w:r w:rsidR="00F258F0" w:rsidRPr="00F34CDD">
        <w:rPr>
          <w:rFonts w:ascii="Cambria" w:eastAsia="Times New Roman" w:hAnsi="Cambria" w:cs="Times New Roman"/>
        </w:rPr>
        <w:t xml:space="preserve"> or higher</w:t>
      </w:r>
      <w:r w:rsidR="005A3E3E" w:rsidRPr="00F34CDD">
        <w:rPr>
          <w:rFonts w:ascii="Cambria" w:eastAsia="Times New Roman" w:hAnsi="Cambria" w:cs="Times New Roman"/>
        </w:rPr>
        <w:t xml:space="preserve"> in</w:t>
      </w:r>
      <w:r w:rsidR="005A3E3E" w:rsidRPr="005A3E3E">
        <w:rPr>
          <w:rFonts w:ascii="Cambria" w:eastAsia="Times New Roman" w:hAnsi="Cambria" w:cs="Times New Roman"/>
        </w:rPr>
        <w:t xml:space="preserve"> </w:t>
      </w:r>
      <w:r w:rsidR="00DE2E16">
        <w:rPr>
          <w:rFonts w:ascii="Cambria" w:eastAsia="Times New Roman" w:hAnsi="Cambria" w:cs="Times New Roman"/>
        </w:rPr>
        <w:t xml:space="preserve">entrepreneurship, </w:t>
      </w:r>
      <w:r w:rsidR="005A3E3E" w:rsidRPr="005A3E3E">
        <w:rPr>
          <w:rFonts w:ascii="Cambria" w:eastAsia="Times New Roman" w:hAnsi="Cambria" w:cs="Times New Roman"/>
        </w:rPr>
        <w:t>business</w:t>
      </w:r>
      <w:r w:rsidR="005E4982">
        <w:rPr>
          <w:rFonts w:ascii="Cambria" w:eastAsia="Times New Roman" w:hAnsi="Cambria" w:cs="Times New Roman"/>
        </w:rPr>
        <w:t xml:space="preserve"> </w:t>
      </w:r>
      <w:r w:rsidR="005A3E3E" w:rsidRPr="005A3E3E">
        <w:rPr>
          <w:rFonts w:ascii="Cambria" w:eastAsia="Times New Roman" w:hAnsi="Cambria" w:cs="Times New Roman"/>
        </w:rPr>
        <w:t xml:space="preserve">or a related field from an AACSB accredited institution. </w:t>
      </w:r>
      <w:r w:rsidR="00BC1BD5">
        <w:rPr>
          <w:rFonts w:ascii="Cambria" w:eastAsia="Times New Roman" w:hAnsi="Cambria" w:cs="Times New Roman"/>
        </w:rPr>
        <w:t xml:space="preserve">Teaching areas for this position </w:t>
      </w:r>
      <w:r w:rsidR="005E4982">
        <w:rPr>
          <w:rFonts w:ascii="Cambria" w:eastAsia="Times New Roman" w:hAnsi="Cambria" w:cs="Times New Roman"/>
        </w:rPr>
        <w:t xml:space="preserve">will </w:t>
      </w:r>
      <w:r w:rsidR="00BC1BD5">
        <w:rPr>
          <w:rFonts w:ascii="Cambria" w:eastAsia="Times New Roman" w:hAnsi="Cambria" w:cs="Times New Roman"/>
        </w:rPr>
        <w:t>include</w:t>
      </w:r>
      <w:r w:rsidR="005E4982">
        <w:rPr>
          <w:rFonts w:ascii="Cambria" w:eastAsia="Times New Roman" w:hAnsi="Cambria" w:cs="Times New Roman"/>
        </w:rPr>
        <w:t xml:space="preserve"> all aspects of entrepreneurship, for </w:t>
      </w:r>
      <w:r w:rsidR="0047586B">
        <w:rPr>
          <w:rFonts w:ascii="Cambria" w:eastAsia="Times New Roman" w:hAnsi="Cambria" w:cs="Times New Roman"/>
        </w:rPr>
        <w:t>instance</w:t>
      </w:r>
      <w:r w:rsidR="005E4982">
        <w:rPr>
          <w:rFonts w:ascii="Cambria" w:eastAsia="Times New Roman" w:hAnsi="Cambria" w:cs="Times New Roman"/>
        </w:rPr>
        <w:t>, creativity and innovation, entrepreneurship</w:t>
      </w:r>
      <w:r w:rsidR="00DC4EAB">
        <w:rPr>
          <w:rFonts w:ascii="Cambria" w:eastAsia="Times New Roman" w:hAnsi="Cambria" w:cs="Times New Roman"/>
        </w:rPr>
        <w:t xml:space="preserve"> principles</w:t>
      </w:r>
      <w:r w:rsidR="005E4982">
        <w:rPr>
          <w:rFonts w:ascii="Cambria" w:eastAsia="Times New Roman" w:hAnsi="Cambria" w:cs="Times New Roman"/>
        </w:rPr>
        <w:t xml:space="preserve">, business model generation, lean and iterative startup techniques, </w:t>
      </w:r>
      <w:r w:rsidR="001234DD">
        <w:rPr>
          <w:rFonts w:ascii="Cambria" w:eastAsia="Times New Roman" w:hAnsi="Cambria" w:cs="Times New Roman"/>
        </w:rPr>
        <w:t xml:space="preserve">product development, </w:t>
      </w:r>
      <w:r w:rsidR="00195C8F">
        <w:rPr>
          <w:rFonts w:ascii="Cambria" w:eastAsia="Times New Roman" w:hAnsi="Cambria" w:cs="Times New Roman"/>
        </w:rPr>
        <w:t xml:space="preserve">venture funding, </w:t>
      </w:r>
      <w:r w:rsidR="005E4982">
        <w:rPr>
          <w:rFonts w:ascii="Cambria" w:eastAsia="Times New Roman" w:hAnsi="Cambria" w:cs="Times New Roman"/>
        </w:rPr>
        <w:t>and social enterprises</w:t>
      </w:r>
      <w:r w:rsidR="00FA56AC">
        <w:rPr>
          <w:rFonts w:ascii="Cambria" w:eastAsia="Times New Roman" w:hAnsi="Cambria" w:cs="Times New Roman"/>
        </w:rPr>
        <w:t>.</w:t>
      </w:r>
      <w:r w:rsidR="00723FDA">
        <w:rPr>
          <w:rFonts w:ascii="Cambria" w:eastAsia="Times New Roman" w:hAnsi="Cambria" w:cs="Times New Roman"/>
        </w:rPr>
        <w:t xml:space="preserve">  </w:t>
      </w:r>
      <w:r w:rsidR="00723FDA" w:rsidRPr="005A3E3E">
        <w:rPr>
          <w:rFonts w:ascii="Cambria" w:eastAsia="Times New Roman" w:hAnsi="Cambria" w:cs="Times New Roman"/>
        </w:rPr>
        <w:t>Th</w:t>
      </w:r>
      <w:r w:rsidR="00723FDA">
        <w:rPr>
          <w:rFonts w:ascii="Cambria" w:eastAsia="Times New Roman" w:hAnsi="Cambria" w:cs="Times New Roman"/>
        </w:rPr>
        <w:t>e</w:t>
      </w:r>
      <w:r w:rsidR="00723FDA" w:rsidRPr="005A3E3E">
        <w:rPr>
          <w:rFonts w:ascii="Cambria" w:eastAsia="Times New Roman" w:hAnsi="Cambria" w:cs="Times New Roman"/>
        </w:rPr>
        <w:t xml:space="preserve"> candidate must demonstrate potential for effective and engaging teaching activity in</w:t>
      </w:r>
      <w:r w:rsidR="00822DDB">
        <w:rPr>
          <w:rFonts w:ascii="Cambria" w:eastAsia="Times New Roman" w:hAnsi="Cambria" w:cs="Times New Roman"/>
        </w:rPr>
        <w:t xml:space="preserve"> more </w:t>
      </w:r>
      <w:r w:rsidR="004E3C34">
        <w:rPr>
          <w:rFonts w:ascii="Cambria" w:eastAsia="Times New Roman" w:hAnsi="Cambria" w:cs="Times New Roman"/>
        </w:rPr>
        <w:t xml:space="preserve">than one </w:t>
      </w:r>
      <w:r w:rsidR="00822DDB">
        <w:rPr>
          <w:rFonts w:ascii="Cambria" w:eastAsia="Times New Roman" w:hAnsi="Cambria" w:cs="Times New Roman"/>
        </w:rPr>
        <w:t>of these area</w:t>
      </w:r>
      <w:r w:rsidR="001D15BF">
        <w:rPr>
          <w:rFonts w:ascii="Cambria" w:eastAsia="Times New Roman" w:hAnsi="Cambria" w:cs="Times New Roman"/>
        </w:rPr>
        <w:t>s</w:t>
      </w:r>
      <w:r w:rsidR="00822DDB">
        <w:rPr>
          <w:rFonts w:ascii="Cambria" w:eastAsia="Times New Roman" w:hAnsi="Cambria" w:cs="Times New Roman"/>
        </w:rPr>
        <w:t xml:space="preserve"> and</w:t>
      </w:r>
      <w:r w:rsidR="005A3E3E" w:rsidRPr="005A3E3E">
        <w:rPr>
          <w:rFonts w:ascii="Cambria" w:eastAsia="Times New Roman" w:hAnsi="Cambria" w:cs="Times New Roman"/>
        </w:rPr>
        <w:t xml:space="preserve"> </w:t>
      </w:r>
      <w:r w:rsidR="001D15BF">
        <w:rPr>
          <w:rFonts w:ascii="Cambria" w:eastAsia="Times New Roman" w:hAnsi="Cambria" w:cs="Times New Roman"/>
        </w:rPr>
        <w:t>a passion for the highest quality teaching. P</w:t>
      </w:r>
      <w:r w:rsidR="005A3E3E" w:rsidRPr="005A3E3E">
        <w:rPr>
          <w:rFonts w:ascii="Cambria" w:eastAsia="Times New Roman" w:hAnsi="Cambria" w:cs="Times New Roman"/>
        </w:rPr>
        <w:t xml:space="preserve">rior college level teaching </w:t>
      </w:r>
      <w:r w:rsidR="00E0499B">
        <w:rPr>
          <w:rFonts w:ascii="Cambria" w:eastAsia="Times New Roman" w:hAnsi="Cambria" w:cs="Times New Roman"/>
        </w:rPr>
        <w:t xml:space="preserve">experience </w:t>
      </w:r>
      <w:r w:rsidR="005A3E3E" w:rsidRPr="005A3E3E">
        <w:rPr>
          <w:rFonts w:ascii="Cambria" w:eastAsia="Times New Roman" w:hAnsi="Cambria" w:cs="Times New Roman"/>
        </w:rPr>
        <w:t>is preferred</w:t>
      </w:r>
      <w:r w:rsidR="00DE4A82">
        <w:rPr>
          <w:rFonts w:ascii="Cambria" w:eastAsia="Times New Roman" w:hAnsi="Cambria" w:cs="Times New Roman"/>
        </w:rPr>
        <w:t>. T</w:t>
      </w:r>
      <w:r w:rsidR="00A0443B">
        <w:rPr>
          <w:rFonts w:ascii="Cambria" w:eastAsia="Times New Roman" w:hAnsi="Cambria" w:cs="Times New Roman"/>
        </w:rPr>
        <w:t xml:space="preserve">he ability to provide </w:t>
      </w:r>
      <w:r w:rsidR="004D29CB">
        <w:rPr>
          <w:rFonts w:ascii="Cambria" w:eastAsia="Times New Roman" w:hAnsi="Cambria" w:cs="Times New Roman"/>
        </w:rPr>
        <w:t>effective</w:t>
      </w:r>
      <w:r w:rsidR="00A0443B">
        <w:rPr>
          <w:rFonts w:ascii="Cambria" w:eastAsia="Times New Roman" w:hAnsi="Cambria" w:cs="Times New Roman"/>
        </w:rPr>
        <w:t xml:space="preserve"> </w:t>
      </w:r>
      <w:r w:rsidR="004D29CB">
        <w:rPr>
          <w:rFonts w:ascii="Cambria" w:eastAsia="Times New Roman" w:hAnsi="Cambria" w:cs="Times New Roman"/>
        </w:rPr>
        <w:t xml:space="preserve">and </w:t>
      </w:r>
      <w:r w:rsidR="00B14B02">
        <w:rPr>
          <w:rFonts w:ascii="Cambria" w:eastAsia="Times New Roman" w:hAnsi="Cambria" w:cs="Times New Roman"/>
        </w:rPr>
        <w:t>dedicated</w:t>
      </w:r>
      <w:r w:rsidR="004D29CB">
        <w:rPr>
          <w:rFonts w:ascii="Cambria" w:eastAsia="Times New Roman" w:hAnsi="Cambria" w:cs="Times New Roman"/>
        </w:rPr>
        <w:t xml:space="preserve"> </w:t>
      </w:r>
      <w:r w:rsidR="00A0443B">
        <w:rPr>
          <w:rFonts w:ascii="Cambria" w:eastAsia="Times New Roman" w:hAnsi="Cambria" w:cs="Times New Roman"/>
        </w:rPr>
        <w:t xml:space="preserve">support and mentoring to student entrepreneurs </w:t>
      </w:r>
      <w:r w:rsidR="00AE360E">
        <w:rPr>
          <w:rFonts w:ascii="Cambria" w:eastAsia="Times New Roman" w:hAnsi="Cambria" w:cs="Times New Roman"/>
        </w:rPr>
        <w:t xml:space="preserve">from </w:t>
      </w:r>
      <w:r w:rsidR="00A0443B">
        <w:rPr>
          <w:rFonts w:ascii="Cambria" w:eastAsia="Times New Roman" w:hAnsi="Cambria" w:cs="Times New Roman"/>
        </w:rPr>
        <w:t>ideation</w:t>
      </w:r>
      <w:r w:rsidR="00AE360E">
        <w:rPr>
          <w:rFonts w:ascii="Cambria" w:eastAsia="Times New Roman" w:hAnsi="Cambria" w:cs="Times New Roman"/>
        </w:rPr>
        <w:t xml:space="preserve"> through </w:t>
      </w:r>
      <w:r w:rsidR="00A0443B">
        <w:rPr>
          <w:rFonts w:ascii="Cambria" w:eastAsia="Times New Roman" w:hAnsi="Cambria" w:cs="Times New Roman"/>
        </w:rPr>
        <w:t>launch</w:t>
      </w:r>
      <w:r w:rsidR="00DE4A82">
        <w:rPr>
          <w:rFonts w:ascii="Cambria" w:eastAsia="Times New Roman" w:hAnsi="Cambria" w:cs="Times New Roman"/>
        </w:rPr>
        <w:t xml:space="preserve"> is required.</w:t>
      </w:r>
    </w:p>
    <w:p w14:paraId="79F36577" w14:textId="754D0946" w:rsidR="00D8143E" w:rsidRDefault="005A3E3E" w:rsidP="00C93D91">
      <w:pPr>
        <w:shd w:val="clear" w:color="auto" w:fill="FFFFFF"/>
        <w:spacing w:before="120" w:after="0"/>
        <w:rPr>
          <w:rFonts w:ascii="Cambria" w:eastAsia="Times New Roman" w:hAnsi="Cambria" w:cs="Times New Roman"/>
        </w:rPr>
      </w:pPr>
      <w:r w:rsidRPr="005A3E3E">
        <w:rPr>
          <w:rFonts w:ascii="Cambria" w:eastAsia="Times New Roman" w:hAnsi="Cambria" w:cs="Times New Roman"/>
        </w:rPr>
        <w:t xml:space="preserve">Evidence of </w:t>
      </w:r>
      <w:r w:rsidR="005A004C">
        <w:rPr>
          <w:rFonts w:ascii="Cambria" w:eastAsia="Times New Roman" w:hAnsi="Cambria" w:cs="Times New Roman"/>
        </w:rPr>
        <w:t xml:space="preserve">successful </w:t>
      </w:r>
      <w:r w:rsidR="00EF5983">
        <w:rPr>
          <w:rFonts w:ascii="Cambria" w:eastAsia="Times New Roman" w:hAnsi="Cambria" w:cs="Times New Roman"/>
        </w:rPr>
        <w:t xml:space="preserve">experience launching </w:t>
      </w:r>
      <w:r w:rsidR="005A004C">
        <w:rPr>
          <w:rFonts w:ascii="Cambria" w:eastAsia="Times New Roman" w:hAnsi="Cambria" w:cs="Times New Roman"/>
        </w:rPr>
        <w:t xml:space="preserve">or managing </w:t>
      </w:r>
      <w:r w:rsidR="00EF5983">
        <w:rPr>
          <w:rFonts w:ascii="Cambria" w:eastAsia="Times New Roman" w:hAnsi="Cambria" w:cs="Times New Roman"/>
        </w:rPr>
        <w:t>startups or small businesses</w:t>
      </w:r>
      <w:r w:rsidR="005A004C">
        <w:rPr>
          <w:rFonts w:ascii="Cambria" w:eastAsia="Times New Roman" w:hAnsi="Cambria" w:cs="Times New Roman"/>
        </w:rPr>
        <w:t>,</w:t>
      </w:r>
      <w:r w:rsidR="00EF5983">
        <w:rPr>
          <w:rFonts w:ascii="Cambria" w:eastAsia="Times New Roman" w:hAnsi="Cambria" w:cs="Times New Roman"/>
        </w:rPr>
        <w:t xml:space="preserve"> or other </w:t>
      </w:r>
      <w:r w:rsidR="00633F7C">
        <w:rPr>
          <w:rFonts w:ascii="Cambria" w:eastAsia="Times New Roman" w:hAnsi="Cambria" w:cs="Times New Roman"/>
        </w:rPr>
        <w:t xml:space="preserve">noteworthy </w:t>
      </w:r>
      <w:r w:rsidRPr="005A3E3E">
        <w:rPr>
          <w:rFonts w:ascii="Cambria" w:eastAsia="Times New Roman" w:hAnsi="Cambria" w:cs="Times New Roman"/>
        </w:rPr>
        <w:t xml:space="preserve">professional </w:t>
      </w:r>
      <w:r w:rsidR="00EF5983">
        <w:rPr>
          <w:rFonts w:ascii="Cambria" w:eastAsia="Times New Roman" w:hAnsi="Cambria" w:cs="Times New Roman"/>
        </w:rPr>
        <w:t>experience relevant to entrepreneurship</w:t>
      </w:r>
      <w:r w:rsidR="005A004C">
        <w:rPr>
          <w:rFonts w:ascii="Cambria" w:eastAsia="Times New Roman" w:hAnsi="Cambria" w:cs="Times New Roman"/>
        </w:rPr>
        <w:t>,</w:t>
      </w:r>
      <w:r w:rsidR="00EF5983">
        <w:rPr>
          <w:rFonts w:ascii="Cambria" w:eastAsia="Times New Roman" w:hAnsi="Cambria" w:cs="Times New Roman"/>
        </w:rPr>
        <w:t xml:space="preserve"> is required</w:t>
      </w:r>
      <w:r w:rsidR="002D6917">
        <w:rPr>
          <w:rFonts w:ascii="Cambria" w:eastAsia="Times New Roman" w:hAnsi="Cambria" w:cs="Times New Roman"/>
        </w:rPr>
        <w:t>, such as corporate venture, business development, business planning, or venture investment.</w:t>
      </w:r>
      <w:r w:rsidR="00F1488F">
        <w:rPr>
          <w:rFonts w:ascii="Cambria" w:eastAsia="Times New Roman" w:hAnsi="Cambria" w:cs="Times New Roman"/>
        </w:rPr>
        <w:t xml:space="preserve"> </w:t>
      </w:r>
      <w:r w:rsidR="00A57E82">
        <w:rPr>
          <w:rFonts w:ascii="Cambria" w:eastAsia="Times New Roman" w:hAnsi="Cambria" w:cs="Times New Roman"/>
        </w:rPr>
        <w:t xml:space="preserve">Candidates should have experience developing and managing programs with multiple stakeholders and </w:t>
      </w:r>
      <w:r w:rsidR="00A06C15">
        <w:rPr>
          <w:rFonts w:ascii="Cambria" w:eastAsia="Times New Roman" w:hAnsi="Cambria" w:cs="Times New Roman"/>
        </w:rPr>
        <w:t xml:space="preserve">the ability and desire to develop </w:t>
      </w:r>
      <w:r w:rsidR="00A57E82">
        <w:rPr>
          <w:rFonts w:ascii="Cambria" w:eastAsia="Times New Roman" w:hAnsi="Cambria" w:cs="Times New Roman"/>
        </w:rPr>
        <w:t xml:space="preserve">and </w:t>
      </w:r>
      <w:r w:rsidR="00A06C15">
        <w:rPr>
          <w:rFonts w:ascii="Cambria" w:eastAsia="Times New Roman" w:hAnsi="Cambria" w:cs="Times New Roman"/>
        </w:rPr>
        <w:t xml:space="preserve">engage </w:t>
      </w:r>
      <w:r w:rsidR="00A57E82">
        <w:rPr>
          <w:rFonts w:ascii="Cambria" w:eastAsia="Times New Roman" w:hAnsi="Cambria" w:cs="Times New Roman"/>
        </w:rPr>
        <w:t>an advisory board of entrepreneurs, business leaders, and alumni</w:t>
      </w:r>
      <w:r w:rsidR="003E75C1">
        <w:rPr>
          <w:rFonts w:ascii="Cambria" w:eastAsia="Times New Roman" w:hAnsi="Cambria" w:cs="Times New Roman"/>
        </w:rPr>
        <w:t>.</w:t>
      </w:r>
      <w:r w:rsidR="00D8143E">
        <w:rPr>
          <w:rFonts w:ascii="Cambria" w:eastAsia="Times New Roman" w:hAnsi="Cambria" w:cs="Times New Roman"/>
        </w:rPr>
        <w:t xml:space="preserve"> </w:t>
      </w:r>
      <w:r w:rsidR="00C93D91" w:rsidRPr="005A3E3E">
        <w:rPr>
          <w:rFonts w:ascii="Cambria" w:eastAsia="Times New Roman" w:hAnsi="Cambria" w:cs="Times New Roman"/>
        </w:rPr>
        <w:t>Candidates should have</w:t>
      </w:r>
      <w:r w:rsidR="00C93D91" w:rsidRPr="005A3E3E">
        <w:rPr>
          <w:rFonts w:ascii="Cambria" w:hAnsi="Cambria" w:cs="Times New Roman"/>
        </w:rPr>
        <w:t xml:space="preserve"> excellent interpersonal</w:t>
      </w:r>
      <w:r w:rsidR="005A004C">
        <w:rPr>
          <w:rFonts w:ascii="Cambria" w:hAnsi="Cambria" w:cs="Times New Roman"/>
        </w:rPr>
        <w:t xml:space="preserve"> and </w:t>
      </w:r>
      <w:r w:rsidR="00C93D91" w:rsidRPr="005A3E3E">
        <w:rPr>
          <w:rFonts w:ascii="Cambria" w:hAnsi="Cambria" w:cs="Times New Roman"/>
        </w:rPr>
        <w:t>communication skills</w:t>
      </w:r>
      <w:r w:rsidR="005A004C">
        <w:rPr>
          <w:rFonts w:ascii="Cambria" w:hAnsi="Cambria" w:cs="Times New Roman"/>
        </w:rPr>
        <w:t xml:space="preserve">, </w:t>
      </w:r>
      <w:r w:rsidR="00F1488F">
        <w:rPr>
          <w:rFonts w:ascii="Cambria" w:hAnsi="Cambria" w:cs="Times New Roman"/>
        </w:rPr>
        <w:t>organizational</w:t>
      </w:r>
      <w:r w:rsidR="005A004C">
        <w:rPr>
          <w:rFonts w:ascii="Cambria" w:hAnsi="Cambria" w:cs="Times New Roman"/>
        </w:rPr>
        <w:t xml:space="preserve"> and project management skills</w:t>
      </w:r>
      <w:r w:rsidR="007375B8">
        <w:rPr>
          <w:rFonts w:ascii="Cambria" w:hAnsi="Cambria" w:cs="Times New Roman"/>
        </w:rPr>
        <w:t>,</w:t>
      </w:r>
      <w:r w:rsidR="00C93D91" w:rsidRPr="005A3E3E">
        <w:rPr>
          <w:rFonts w:ascii="Cambria" w:hAnsi="Cambria" w:cs="Times New Roman"/>
        </w:rPr>
        <w:t xml:space="preserve"> and the ability to work with multiple constituencies of diverse backgrounds.</w:t>
      </w:r>
      <w:r w:rsidR="00C93D91" w:rsidRPr="005A3E3E">
        <w:rPr>
          <w:rFonts w:ascii="Cambria" w:eastAsia="Times New Roman" w:hAnsi="Cambria" w:cs="Times New Roman"/>
        </w:rPr>
        <w:t xml:space="preserve"> </w:t>
      </w:r>
    </w:p>
    <w:p w14:paraId="11B3B0B3" w14:textId="725C3062" w:rsidR="00C93D91" w:rsidRDefault="00D8143E" w:rsidP="00C93D91">
      <w:pPr>
        <w:shd w:val="clear" w:color="auto" w:fill="FFFFFF"/>
        <w:spacing w:before="120" w:after="0"/>
        <w:rPr>
          <w:rFonts w:ascii="Cambria" w:eastAsia="Times New Roman" w:hAnsi="Cambria" w:cs="Times New Roman"/>
        </w:rPr>
      </w:pPr>
      <w:r>
        <w:rPr>
          <w:rFonts w:ascii="Cambria" w:eastAsia="Times New Roman" w:hAnsi="Cambria" w:cs="Times New Roman"/>
        </w:rPr>
        <w:t xml:space="preserve">Evidence of recent and ongoing professional engagement in the field of entrepreneurship, such as contributing to practitioner publications, active participation in professional organizations, </w:t>
      </w:r>
      <w:r w:rsidR="003E75C1">
        <w:rPr>
          <w:rFonts w:ascii="Cambria" w:eastAsia="Times New Roman" w:hAnsi="Cambria" w:cs="Times New Roman"/>
        </w:rPr>
        <w:t xml:space="preserve">and </w:t>
      </w:r>
      <w:r>
        <w:rPr>
          <w:rFonts w:ascii="Cambria" w:eastAsia="Times New Roman" w:hAnsi="Cambria" w:cs="Times New Roman"/>
        </w:rPr>
        <w:t xml:space="preserve">active practice or consulting engagement are required to maintain appropriate qualifications with the School’s AACSB-based guidelines. </w:t>
      </w:r>
      <w:r w:rsidR="00C93D91" w:rsidRPr="005A3E3E">
        <w:rPr>
          <w:rFonts w:ascii="Cambria" w:eastAsia="Times New Roman" w:hAnsi="Cambria" w:cs="Times New Roman"/>
        </w:rPr>
        <w:t>Evidence of professional activity sufficient to be qualified as Scholarly Academic</w:t>
      </w:r>
      <w:r w:rsidR="0075439C">
        <w:rPr>
          <w:rFonts w:ascii="Cambria" w:eastAsia="Times New Roman" w:hAnsi="Cambria" w:cs="Times New Roman"/>
        </w:rPr>
        <w:t xml:space="preserve">, </w:t>
      </w:r>
      <w:r w:rsidR="00C93D91" w:rsidRPr="005A3E3E">
        <w:rPr>
          <w:rFonts w:ascii="Cambria" w:eastAsia="Times New Roman" w:hAnsi="Cambria" w:cs="Times New Roman"/>
        </w:rPr>
        <w:t>Scholarly Practitioner</w:t>
      </w:r>
      <w:r w:rsidR="0075439C">
        <w:rPr>
          <w:rFonts w:ascii="Cambria" w:eastAsia="Times New Roman" w:hAnsi="Cambria" w:cs="Times New Roman"/>
        </w:rPr>
        <w:t>, Practice Academic, or Instructional Practitioner</w:t>
      </w:r>
      <w:r w:rsidR="00C93D91" w:rsidRPr="005A3E3E">
        <w:rPr>
          <w:rFonts w:ascii="Cambria" w:eastAsia="Times New Roman" w:hAnsi="Cambria" w:cs="Times New Roman"/>
        </w:rPr>
        <w:t xml:space="preserve"> under AACSB guidelines is preferred. </w:t>
      </w:r>
    </w:p>
    <w:p w14:paraId="55B91E87" w14:textId="77777777" w:rsidR="00D124C2" w:rsidRPr="005A3E3E" w:rsidRDefault="00D124C2" w:rsidP="00C93D91">
      <w:pPr>
        <w:shd w:val="clear" w:color="auto" w:fill="FFFFFF"/>
        <w:spacing w:before="120" w:after="0"/>
        <w:rPr>
          <w:rFonts w:ascii="Cambria" w:eastAsia="Times New Roman" w:hAnsi="Cambria" w:cs="Times New Roman"/>
        </w:rPr>
      </w:pPr>
    </w:p>
    <w:p w14:paraId="3A6B7CAB" w14:textId="77777777" w:rsidR="00D058AE" w:rsidRDefault="00D058AE" w:rsidP="00C93D91">
      <w:pPr>
        <w:shd w:val="clear" w:color="auto" w:fill="FFFFFF"/>
        <w:spacing w:before="120" w:after="0"/>
        <w:rPr>
          <w:rFonts w:ascii="Cambria" w:eastAsia="Times New Roman" w:hAnsi="Cambria" w:cs="Times New Roman"/>
          <w:b/>
          <w:bCs/>
          <w:smallCaps/>
        </w:rPr>
      </w:pPr>
    </w:p>
    <w:p w14:paraId="02804590" w14:textId="48B09C5D" w:rsidR="00001EED" w:rsidRPr="005A3E3E" w:rsidRDefault="00C93D91" w:rsidP="00C93D91">
      <w:pPr>
        <w:shd w:val="clear" w:color="auto" w:fill="FFFFFF"/>
        <w:spacing w:before="120" w:after="0"/>
        <w:rPr>
          <w:rFonts w:ascii="Cambria" w:eastAsia="Times New Roman" w:hAnsi="Cambria" w:cs="Times New Roman"/>
        </w:rPr>
      </w:pPr>
      <w:r w:rsidRPr="005A3E3E">
        <w:rPr>
          <w:rFonts w:ascii="Cambria" w:eastAsia="Times New Roman" w:hAnsi="Cambria" w:cs="Times New Roman"/>
          <w:b/>
          <w:bCs/>
          <w:smallCaps/>
        </w:rPr>
        <w:lastRenderedPageBreak/>
        <w:t>Responsibilities</w:t>
      </w:r>
      <w:r w:rsidRPr="005A3E3E">
        <w:rPr>
          <w:rFonts w:ascii="Cambria" w:eastAsia="Times New Roman" w:hAnsi="Cambria" w:cs="Times New Roman"/>
          <w:b/>
          <w:bCs/>
        </w:rPr>
        <w:t>:</w:t>
      </w:r>
      <w:r w:rsidRPr="005A3E3E">
        <w:rPr>
          <w:rFonts w:ascii="Cambria" w:eastAsia="Times New Roman" w:hAnsi="Cambria" w:cs="Times New Roman"/>
        </w:rPr>
        <w:t xml:space="preserve">  </w:t>
      </w:r>
    </w:p>
    <w:p w14:paraId="304EE063" w14:textId="675C62FB" w:rsidR="00490F1C" w:rsidRPr="005A3E3E" w:rsidRDefault="00C93D91" w:rsidP="00490F1C">
      <w:pPr>
        <w:shd w:val="clear" w:color="auto" w:fill="FFFFFF"/>
        <w:spacing w:before="120" w:after="0"/>
        <w:rPr>
          <w:rFonts w:ascii="Cambria" w:eastAsia="Times New Roman" w:hAnsi="Cambria" w:cs="Times New Roman"/>
          <w:b/>
          <w:bCs/>
          <w:smallCaps/>
        </w:rPr>
      </w:pPr>
      <w:r w:rsidRPr="005A3E3E">
        <w:rPr>
          <w:rFonts w:ascii="Cambria" w:eastAsia="Times New Roman" w:hAnsi="Cambria" w:cs="Times New Roman"/>
        </w:rPr>
        <w:t xml:space="preserve">Teaching responsibilities will depend on the candidate’s disciplinary expertise and may include offerings </w:t>
      </w:r>
      <w:r w:rsidR="001D15BF">
        <w:rPr>
          <w:rFonts w:ascii="Cambria" w:eastAsia="Times New Roman" w:hAnsi="Cambria" w:cs="Times New Roman"/>
        </w:rPr>
        <w:t xml:space="preserve">within the Department of </w:t>
      </w:r>
      <w:r w:rsidR="00103AC2">
        <w:rPr>
          <w:rFonts w:ascii="Cambria" w:eastAsia="Times New Roman" w:hAnsi="Cambria" w:cs="Times New Roman"/>
        </w:rPr>
        <w:t>Management and</w:t>
      </w:r>
      <w:r w:rsidRPr="005A3E3E">
        <w:rPr>
          <w:rFonts w:ascii="Cambria" w:eastAsia="Times New Roman" w:hAnsi="Cambria" w:cs="Times New Roman"/>
        </w:rPr>
        <w:t xml:space="preserve"> the University’s requirements in General Education</w:t>
      </w:r>
      <w:r w:rsidR="003E3367">
        <w:rPr>
          <w:rFonts w:ascii="Cambria" w:eastAsia="Times New Roman" w:hAnsi="Cambria" w:cs="Times New Roman"/>
        </w:rPr>
        <w:t>.</w:t>
      </w:r>
      <w:r w:rsidRPr="005A3E3E">
        <w:rPr>
          <w:rFonts w:ascii="Cambria" w:eastAsia="Times New Roman" w:hAnsi="Cambria" w:cs="Times New Roman"/>
        </w:rPr>
        <w:t xml:space="preserve"> </w:t>
      </w:r>
      <w:bookmarkStart w:id="0" w:name="_Hlk129700642"/>
      <w:r w:rsidR="00490F1C" w:rsidRPr="005A3E3E">
        <w:rPr>
          <w:rFonts w:ascii="Cambria" w:eastAsia="Times New Roman" w:hAnsi="Cambria" w:cs="Times New Roman"/>
        </w:rPr>
        <w:t xml:space="preserve">The </w:t>
      </w:r>
      <w:r w:rsidR="00837CEC">
        <w:rPr>
          <w:rFonts w:ascii="Cambria" w:eastAsia="Times New Roman" w:hAnsi="Cambria" w:cs="Times New Roman"/>
        </w:rPr>
        <w:t xml:space="preserve">standard </w:t>
      </w:r>
      <w:r w:rsidR="00490F1C" w:rsidRPr="005A3E3E">
        <w:rPr>
          <w:rFonts w:ascii="Cambria" w:eastAsia="Times New Roman" w:hAnsi="Cambria" w:cs="Times New Roman"/>
        </w:rPr>
        <w:t xml:space="preserve">teaching load for an Assistant Professor of Practice is </w:t>
      </w:r>
      <w:r w:rsidR="00F71838">
        <w:rPr>
          <w:rFonts w:ascii="Cambria" w:eastAsia="Times New Roman" w:hAnsi="Cambria" w:cs="Times New Roman"/>
        </w:rPr>
        <w:t>eight (8</w:t>
      </w:r>
      <w:r w:rsidR="00490F1C" w:rsidRPr="005A3E3E">
        <w:rPr>
          <w:rFonts w:ascii="Cambria" w:eastAsia="Times New Roman" w:hAnsi="Cambria" w:cs="Times New Roman"/>
        </w:rPr>
        <w:t xml:space="preserve">) courses per </w:t>
      </w:r>
      <w:r w:rsidR="00F71838">
        <w:rPr>
          <w:rFonts w:ascii="Cambria" w:eastAsia="Times New Roman" w:hAnsi="Cambria" w:cs="Times New Roman"/>
        </w:rPr>
        <w:t>year</w:t>
      </w:r>
      <w:r w:rsidR="00837CEC" w:rsidRPr="00F34CDD">
        <w:rPr>
          <w:rFonts w:ascii="Cambria" w:eastAsia="Times New Roman" w:hAnsi="Cambria" w:cs="Times New Roman"/>
        </w:rPr>
        <w:t>.</w:t>
      </w:r>
      <w:r w:rsidR="00C577A3" w:rsidRPr="00F34CDD">
        <w:rPr>
          <w:rFonts w:ascii="Cambria" w:eastAsia="Times New Roman" w:hAnsi="Cambria" w:cs="Times New Roman"/>
        </w:rPr>
        <w:t xml:space="preserve"> </w:t>
      </w:r>
      <w:bookmarkStart w:id="1" w:name="_Hlk129865064"/>
      <w:r w:rsidR="007B047C" w:rsidRPr="00F34CDD">
        <w:rPr>
          <w:rFonts w:ascii="Cambria" w:eastAsia="Times New Roman" w:hAnsi="Cambria" w:cs="Times New Roman"/>
        </w:rPr>
        <w:t xml:space="preserve">The </w:t>
      </w:r>
      <w:r w:rsidR="00F34CDD" w:rsidRPr="00F34CDD">
        <w:rPr>
          <w:rFonts w:ascii="Cambria" w:eastAsia="Times New Roman" w:hAnsi="Cambria" w:cs="Times New Roman"/>
        </w:rPr>
        <w:t xml:space="preserve">annual </w:t>
      </w:r>
      <w:r w:rsidR="00F34CDD" w:rsidRPr="00F34CDD">
        <w:rPr>
          <w:rFonts w:ascii="Cambria" w:eastAsia="Times New Roman" w:hAnsi="Cambria" w:cs="Times New Roman"/>
        </w:rPr>
        <w:t>teaching load for this position will be no more than six (6) unit courses per year</w:t>
      </w:r>
      <w:r w:rsidR="00F34CDD">
        <w:rPr>
          <w:rFonts w:ascii="Cambria" w:eastAsia="Times New Roman" w:hAnsi="Cambria" w:cs="Times New Roman"/>
        </w:rPr>
        <w:t xml:space="preserve">, depending on the </w:t>
      </w:r>
      <w:r w:rsidR="007836DE" w:rsidRPr="00F34CDD">
        <w:rPr>
          <w:rFonts w:ascii="Cambria" w:eastAsia="Times New Roman" w:hAnsi="Cambria" w:cs="Times New Roman"/>
        </w:rPr>
        <w:t xml:space="preserve">administrative </w:t>
      </w:r>
      <w:r w:rsidR="00F71838" w:rsidRPr="00F34CDD">
        <w:rPr>
          <w:rFonts w:ascii="Cambria" w:eastAsia="Times New Roman" w:hAnsi="Cambria" w:cs="Times New Roman"/>
        </w:rPr>
        <w:t>r</w:t>
      </w:r>
      <w:r w:rsidR="007836DE" w:rsidRPr="00F34CDD">
        <w:rPr>
          <w:rFonts w:ascii="Cambria" w:eastAsia="Times New Roman" w:hAnsi="Cambria" w:cs="Times New Roman"/>
        </w:rPr>
        <w:t>esponsibilities</w:t>
      </w:r>
      <w:r w:rsidR="00F71838" w:rsidRPr="00F34CDD">
        <w:rPr>
          <w:rFonts w:ascii="Cambria" w:eastAsia="Times New Roman" w:hAnsi="Cambria" w:cs="Times New Roman"/>
        </w:rPr>
        <w:t xml:space="preserve"> for the Entrepreneurship program</w:t>
      </w:r>
      <w:bookmarkEnd w:id="1"/>
      <w:r w:rsidR="00C577A3" w:rsidRPr="00F34CDD">
        <w:rPr>
          <w:rFonts w:ascii="Cambria" w:eastAsia="Times New Roman" w:hAnsi="Cambria" w:cs="Times New Roman"/>
        </w:rPr>
        <w:t>.</w:t>
      </w:r>
      <w:bookmarkEnd w:id="0"/>
      <w:r w:rsidR="00F71838">
        <w:rPr>
          <w:rFonts w:ascii="Cambria" w:eastAsia="Times New Roman" w:hAnsi="Cambria" w:cs="Times New Roman"/>
        </w:rPr>
        <w:t xml:space="preserve">  </w:t>
      </w:r>
    </w:p>
    <w:p w14:paraId="5D030F21" w14:textId="5EE8A611" w:rsidR="00490F1C" w:rsidRPr="005A3E3E" w:rsidRDefault="008E5973" w:rsidP="00490F1C">
      <w:pPr>
        <w:shd w:val="clear" w:color="auto" w:fill="FFFFFF"/>
        <w:spacing w:before="120" w:after="0"/>
        <w:rPr>
          <w:rFonts w:ascii="Cambria" w:eastAsia="Times New Roman" w:hAnsi="Cambria" w:cs="Times New Roman"/>
        </w:rPr>
      </w:pPr>
      <w:bookmarkStart w:id="2" w:name="_Hlk129701244"/>
      <w:r>
        <w:rPr>
          <w:rFonts w:ascii="Cambria" w:eastAsia="Times New Roman" w:hAnsi="Cambria" w:cs="Times New Roman"/>
        </w:rPr>
        <w:t>As the Director of the Prince Entrepreneurship Program, t</w:t>
      </w:r>
      <w:r w:rsidRPr="005A3E3E">
        <w:rPr>
          <w:rFonts w:ascii="Cambria" w:eastAsia="Times New Roman" w:hAnsi="Cambria" w:cs="Times New Roman"/>
        </w:rPr>
        <w:t xml:space="preserve">he </w:t>
      </w:r>
      <w:r w:rsidR="00490F1C" w:rsidRPr="005A3E3E">
        <w:rPr>
          <w:rFonts w:ascii="Cambria" w:eastAsia="Times New Roman" w:hAnsi="Cambria" w:cs="Times New Roman"/>
        </w:rPr>
        <w:t xml:space="preserve">successful candidate will </w:t>
      </w:r>
      <w:r>
        <w:rPr>
          <w:rFonts w:ascii="Cambria" w:eastAsia="Times New Roman" w:hAnsi="Cambria" w:cs="Times New Roman"/>
        </w:rPr>
        <w:t>provide their strategic vision for the programming and growth of the program</w:t>
      </w:r>
      <w:r w:rsidR="0064402B">
        <w:rPr>
          <w:rFonts w:ascii="Cambria" w:eastAsia="Times New Roman" w:hAnsi="Cambria" w:cs="Times New Roman"/>
        </w:rPr>
        <w:t xml:space="preserve">, </w:t>
      </w:r>
      <w:r>
        <w:rPr>
          <w:rFonts w:ascii="Cambria" w:eastAsia="Times New Roman" w:hAnsi="Cambria" w:cs="Times New Roman"/>
        </w:rPr>
        <w:t xml:space="preserve">while effectively managing its day-to-day </w:t>
      </w:r>
      <w:r w:rsidR="00B53196">
        <w:rPr>
          <w:rFonts w:ascii="Cambria" w:eastAsia="Times New Roman" w:hAnsi="Cambria" w:cs="Times New Roman"/>
        </w:rPr>
        <w:t>operations</w:t>
      </w:r>
      <w:r w:rsidR="007836DE">
        <w:rPr>
          <w:rFonts w:ascii="Cambria" w:eastAsia="Times New Roman" w:hAnsi="Cambria" w:cs="Times New Roman"/>
        </w:rPr>
        <w:t xml:space="preserve"> throughout the year</w:t>
      </w:r>
      <w:r w:rsidR="005A3E3E">
        <w:rPr>
          <w:rFonts w:ascii="Cambria" w:eastAsia="Times New Roman" w:hAnsi="Cambria" w:cs="Times New Roman"/>
        </w:rPr>
        <w:t xml:space="preserve">. </w:t>
      </w:r>
      <w:bookmarkEnd w:id="2"/>
      <w:r>
        <w:rPr>
          <w:rFonts w:ascii="Cambria" w:eastAsia="Times New Roman" w:hAnsi="Cambria" w:cs="Times New Roman"/>
        </w:rPr>
        <w:t>T</w:t>
      </w:r>
      <w:r w:rsidR="005A3E3E">
        <w:rPr>
          <w:rFonts w:ascii="Cambria" w:eastAsia="Times New Roman" w:hAnsi="Cambria" w:cs="Times New Roman"/>
        </w:rPr>
        <w:t>he individual will</w:t>
      </w:r>
      <w:r w:rsidR="00490F1C" w:rsidRPr="005A3E3E">
        <w:rPr>
          <w:rFonts w:ascii="Cambria" w:eastAsia="Times New Roman" w:hAnsi="Cambria" w:cs="Times New Roman"/>
        </w:rPr>
        <w:t xml:space="preserve"> work with department and School leaders in the areas of strategic planning, branding, outreach to the </w:t>
      </w:r>
      <w:r w:rsidR="00346978">
        <w:rPr>
          <w:rFonts w:ascii="Cambria" w:eastAsia="Times New Roman" w:hAnsi="Cambria" w:cs="Times New Roman"/>
        </w:rPr>
        <w:t xml:space="preserve">startup and business </w:t>
      </w:r>
      <w:r w:rsidR="00490F1C" w:rsidRPr="005A3E3E">
        <w:rPr>
          <w:rFonts w:ascii="Cambria" w:eastAsia="Times New Roman" w:hAnsi="Cambria" w:cs="Times New Roman"/>
        </w:rPr>
        <w:t xml:space="preserve">community, and student engagement opportunities associated with the </w:t>
      </w:r>
      <w:r>
        <w:rPr>
          <w:rFonts w:ascii="Cambria" w:eastAsia="Times New Roman" w:hAnsi="Cambria" w:cs="Times New Roman"/>
        </w:rPr>
        <w:t>Prince Entrepreneurship P</w:t>
      </w:r>
      <w:r w:rsidRPr="005A3E3E">
        <w:rPr>
          <w:rFonts w:ascii="Cambria" w:eastAsia="Times New Roman" w:hAnsi="Cambria" w:cs="Times New Roman"/>
        </w:rPr>
        <w:t>rogram</w:t>
      </w:r>
      <w:r w:rsidR="00490F1C" w:rsidRPr="005A3E3E">
        <w:rPr>
          <w:rFonts w:ascii="Cambria" w:eastAsia="Times New Roman" w:hAnsi="Cambria" w:cs="Times New Roman"/>
        </w:rPr>
        <w:t>.</w:t>
      </w:r>
      <w:r w:rsidR="003E3367">
        <w:rPr>
          <w:rFonts w:ascii="Cambria" w:eastAsia="Times New Roman" w:hAnsi="Cambria" w:cs="Times New Roman"/>
        </w:rPr>
        <w:t xml:space="preserve"> </w:t>
      </w:r>
      <w:r w:rsidR="00C17E79">
        <w:rPr>
          <w:rFonts w:ascii="Cambria" w:eastAsia="Times New Roman" w:hAnsi="Cambria" w:cs="Times New Roman"/>
        </w:rPr>
        <w:t>As director, t</w:t>
      </w:r>
      <w:r w:rsidR="00C17E79" w:rsidRPr="00C17E79">
        <w:rPr>
          <w:rFonts w:ascii="Cambria" w:eastAsia="Times New Roman" w:hAnsi="Cambria" w:cs="Times New Roman"/>
        </w:rPr>
        <w:t>his</w:t>
      </w:r>
      <w:r w:rsidR="00C17E79">
        <w:rPr>
          <w:rFonts w:ascii="Cambria" w:eastAsia="Times New Roman" w:hAnsi="Cambria" w:cs="Times New Roman"/>
        </w:rPr>
        <w:t xml:space="preserve"> individual has three significant administrative responsibilities: 1) Program management and growth; 2) Student recruiting, engagement, and mentoring; and 3) Stakeholder outreach, including cultivating and nurturing relationships with alumni and business and academic leaders, nationwide. </w:t>
      </w:r>
    </w:p>
    <w:p w14:paraId="1CB0A8CD" w14:textId="7EF497A2" w:rsidR="00C93D91" w:rsidRPr="00103AC2" w:rsidRDefault="00C93D91" w:rsidP="00103AC2">
      <w:pPr>
        <w:shd w:val="clear" w:color="auto" w:fill="FFFFFF"/>
        <w:spacing w:before="120" w:after="0"/>
        <w:rPr>
          <w:rFonts w:ascii="Cambria" w:hAnsi="Cambria"/>
        </w:rPr>
      </w:pPr>
      <w:r w:rsidRPr="005A3E3E">
        <w:rPr>
          <w:rFonts w:ascii="Cambria" w:hAnsi="Cambria"/>
        </w:rPr>
        <w:t xml:space="preserve">Additional responsibilities </w:t>
      </w:r>
      <w:proofErr w:type="gramStart"/>
      <w:r w:rsidRPr="005A3E3E">
        <w:rPr>
          <w:rFonts w:ascii="Cambria" w:hAnsi="Cambria"/>
        </w:rPr>
        <w:t>include:</w:t>
      </w:r>
      <w:proofErr w:type="gramEnd"/>
      <w:r w:rsidRPr="005A3E3E">
        <w:rPr>
          <w:rFonts w:ascii="Cambria" w:hAnsi="Cambria"/>
        </w:rPr>
        <w:t xml:space="preserve"> undergraduate advising; student recruitment; engaging with university, school, and departmental committees and meetings; and building partnerships with both Florida-based and national </w:t>
      </w:r>
      <w:r w:rsidR="008E5973">
        <w:rPr>
          <w:rFonts w:ascii="Cambria" w:hAnsi="Cambria"/>
        </w:rPr>
        <w:t>entrepreneurs, venture investors, incubators/accelerators, and other academic programs and associations</w:t>
      </w:r>
      <w:r w:rsidRPr="005A3E3E">
        <w:rPr>
          <w:rFonts w:ascii="Cambria" w:hAnsi="Cambria"/>
        </w:rPr>
        <w:t>.</w:t>
      </w:r>
      <w:r w:rsidR="004A1FED">
        <w:rPr>
          <w:rFonts w:ascii="Cambria" w:hAnsi="Cambria"/>
        </w:rPr>
        <w:t xml:space="preserve"> </w:t>
      </w:r>
      <w:r w:rsidRPr="005A3E3E">
        <w:rPr>
          <w:rFonts w:ascii="Cambria" w:hAnsi="Cambria"/>
        </w:rPr>
        <w:t xml:space="preserve">Engagement in multidisciplinary collaborations with other faculty is anticipated. </w:t>
      </w:r>
      <w:r w:rsidRPr="005A3E3E">
        <w:rPr>
          <w:rFonts w:ascii="Cambria" w:eastAsia="Times New Roman" w:hAnsi="Cambria" w:cs="Times New Roman"/>
        </w:rPr>
        <w:t xml:space="preserve"> </w:t>
      </w:r>
    </w:p>
    <w:p w14:paraId="6D7AA09D" w14:textId="3BC304DE" w:rsidR="006F7FC5" w:rsidRPr="008F2DD6" w:rsidRDefault="006F7FC5" w:rsidP="00516B83">
      <w:pPr>
        <w:spacing w:before="120" w:after="0"/>
        <w:rPr>
          <w:rFonts w:ascii="Cambria" w:eastAsia="Times New Roman" w:hAnsi="Cambria" w:cs="Times New Roman"/>
        </w:rPr>
      </w:pPr>
      <w:r w:rsidRPr="008F2DD6">
        <w:rPr>
          <w:rFonts w:ascii="Cambria" w:eastAsia="Times New Roman" w:hAnsi="Cambria" w:cs="Times New Roman"/>
        </w:rPr>
        <w:t xml:space="preserve">Stetson University is committed to providing a welcoming and inclusive environment to ethnically and racially diverse faculty candidates, who </w:t>
      </w:r>
      <w:proofErr w:type="gramStart"/>
      <w:r w:rsidRPr="008F2DD6">
        <w:rPr>
          <w:rFonts w:ascii="Cambria" w:eastAsia="Times New Roman" w:hAnsi="Cambria" w:cs="Times New Roman"/>
        </w:rPr>
        <w:t>are capable of fostering</w:t>
      </w:r>
      <w:proofErr w:type="gramEnd"/>
      <w:r w:rsidRPr="008F2DD6">
        <w:rPr>
          <w:rFonts w:ascii="Cambria" w:eastAsia="Times New Roman" w:hAnsi="Cambria" w:cs="Times New Roman"/>
        </w:rPr>
        <w:t xml:space="preserve"> educational opportunities for underrepresented groups.  </w:t>
      </w:r>
      <w:r w:rsidR="008F2DD6" w:rsidRPr="008F2DD6">
        <w:rPr>
          <w:rFonts w:ascii="Cambria" w:eastAsia="Times New Roman" w:hAnsi="Cambria" w:cs="Times New Roman"/>
        </w:rPr>
        <w:t xml:space="preserve">Diversity is a fundamental value at Stetson </w:t>
      </w:r>
      <w:proofErr w:type="gramStart"/>
      <w:r w:rsidR="008F2DD6" w:rsidRPr="008F2DD6">
        <w:rPr>
          <w:rFonts w:ascii="Cambria" w:eastAsia="Times New Roman" w:hAnsi="Cambria" w:cs="Times New Roman"/>
        </w:rPr>
        <w:t>University</w:t>
      </w:r>
      <w:proofErr w:type="gramEnd"/>
      <w:r w:rsidR="008F2DD6" w:rsidRPr="008F2DD6">
        <w:rPr>
          <w:rFonts w:ascii="Cambria" w:eastAsia="Times New Roman" w:hAnsi="Cambria" w:cs="Times New Roman"/>
        </w:rPr>
        <w:t xml:space="preserve"> and we value faculty who are able to develop pedagogy to meet multiple interests, or be a mentor for minority and majority students.  </w:t>
      </w:r>
    </w:p>
    <w:p w14:paraId="4048858F" w14:textId="77777777" w:rsidR="00C93D91" w:rsidRPr="005A3E3E" w:rsidRDefault="00C93D91" w:rsidP="00C93D91">
      <w:pPr>
        <w:shd w:val="clear" w:color="auto" w:fill="FFFFFF"/>
        <w:spacing w:after="0" w:line="23" w:lineRule="atLeast"/>
        <w:rPr>
          <w:rFonts w:ascii="Cambria" w:hAnsi="Cambria"/>
        </w:rPr>
      </w:pPr>
    </w:p>
    <w:p w14:paraId="3938848F" w14:textId="77777777" w:rsidR="00C93D91" w:rsidRPr="005A3E3E" w:rsidRDefault="00C93D91" w:rsidP="00C93D91">
      <w:pPr>
        <w:shd w:val="clear" w:color="auto" w:fill="FFFFFF"/>
        <w:spacing w:before="120" w:after="120" w:line="240" w:lineRule="auto"/>
        <w:rPr>
          <w:rFonts w:ascii="Cambria" w:eastAsia="Times New Roman" w:hAnsi="Cambria" w:cs="Times New Roman"/>
          <w:b/>
          <w:bCs/>
        </w:rPr>
      </w:pPr>
      <w:r w:rsidRPr="005A3E3E">
        <w:rPr>
          <w:rFonts w:ascii="Cambria" w:eastAsia="Times New Roman" w:hAnsi="Cambria" w:cs="Times New Roman"/>
          <w:b/>
          <w:bCs/>
          <w:smallCaps/>
        </w:rPr>
        <w:t>The Department</w:t>
      </w:r>
      <w:r w:rsidRPr="005A3E3E">
        <w:rPr>
          <w:rFonts w:ascii="Cambria" w:eastAsia="Times New Roman" w:hAnsi="Cambria" w:cs="Times New Roman"/>
          <w:b/>
          <w:bCs/>
        </w:rPr>
        <w:t xml:space="preserve">: </w:t>
      </w:r>
    </w:p>
    <w:p w14:paraId="3E99BAEF" w14:textId="508F5C3C" w:rsidR="00090369" w:rsidRPr="00FF1FEE" w:rsidRDefault="00C93D91" w:rsidP="00673C33">
      <w:pPr>
        <w:autoSpaceDE w:val="0"/>
        <w:autoSpaceDN w:val="0"/>
        <w:adjustRightInd w:val="0"/>
        <w:spacing w:after="0"/>
        <w:rPr>
          <w:rFonts w:ascii="Cambria" w:hAnsi="Cambria" w:cs="Calibri"/>
        </w:rPr>
      </w:pPr>
      <w:r w:rsidRPr="005A3E3E">
        <w:rPr>
          <w:rFonts w:ascii="Cambria" w:hAnsi="Cambria"/>
        </w:rPr>
        <w:t xml:space="preserve">Stetson University's </w:t>
      </w:r>
      <w:r w:rsidR="00472FFC">
        <w:rPr>
          <w:rFonts w:ascii="Cambria" w:hAnsi="Cambria"/>
        </w:rPr>
        <w:t xml:space="preserve">Prince </w:t>
      </w:r>
      <w:r w:rsidR="00794A0B" w:rsidRPr="00547A24">
        <w:rPr>
          <w:rFonts w:ascii="Cambria" w:hAnsi="Cambria"/>
          <w:bCs/>
        </w:rPr>
        <w:t>Entrepreneurship</w:t>
      </w:r>
      <w:r w:rsidR="00794A0B" w:rsidRPr="00547A24">
        <w:rPr>
          <w:rFonts w:ascii="Cambria" w:hAnsi="Cambria"/>
        </w:rPr>
        <w:t xml:space="preserve"> p</w:t>
      </w:r>
      <w:r w:rsidR="00794A0B" w:rsidRPr="00794A0B">
        <w:rPr>
          <w:rFonts w:ascii="Cambria" w:hAnsi="Cambria"/>
        </w:rPr>
        <w:t>rogram</w:t>
      </w:r>
      <w:r w:rsidR="00794A0B" w:rsidRPr="005A3E3E">
        <w:rPr>
          <w:rFonts w:ascii="Cambria" w:hAnsi="Cambria"/>
        </w:rPr>
        <w:t xml:space="preserve"> </w:t>
      </w:r>
      <w:r w:rsidR="00394AC7">
        <w:rPr>
          <w:rFonts w:ascii="Cambria" w:hAnsi="Cambria"/>
        </w:rPr>
        <w:t xml:space="preserve">is an academic major and minor </w:t>
      </w:r>
      <w:r w:rsidR="00D05CA3">
        <w:rPr>
          <w:rFonts w:ascii="Cambria" w:hAnsi="Cambria"/>
        </w:rPr>
        <w:t>within the Department of Management</w:t>
      </w:r>
      <w:r w:rsidR="00394AC7" w:rsidRPr="00394AC7">
        <w:rPr>
          <w:rFonts w:ascii="Cambria" w:hAnsi="Cambria"/>
        </w:rPr>
        <w:t>.</w:t>
      </w:r>
      <w:r w:rsidR="00394AC7">
        <w:rPr>
          <w:rFonts w:ascii="Cambria" w:hAnsi="Cambria"/>
        </w:rPr>
        <w:t xml:space="preserve"> </w:t>
      </w:r>
      <w:r w:rsidR="00090369" w:rsidRPr="00394AC7">
        <w:rPr>
          <w:rFonts w:ascii="Cambria" w:hAnsi="Cambria" w:cs="Arial"/>
          <w:shd w:val="clear" w:color="auto" w:fill="FFFFFF"/>
        </w:rPr>
        <w:t xml:space="preserve">Through experiential learning opportunities, engaging classroom interactions, and close partnerships with Stetson faculty and industry professionals, students acquire the business acumen, leadership, and interpersonal effectiveness that will enable them to </w:t>
      </w:r>
      <w:r w:rsidR="00D60B69">
        <w:rPr>
          <w:rFonts w:ascii="Cambria" w:hAnsi="Cambria" w:cs="Arial"/>
          <w:shd w:val="clear" w:color="auto" w:fill="FFFFFF"/>
        </w:rPr>
        <w:t xml:space="preserve">become </w:t>
      </w:r>
      <w:r w:rsidR="00794A0B">
        <w:rPr>
          <w:rFonts w:ascii="Cambria" w:hAnsi="Cambria" w:cs="Arial"/>
          <w:shd w:val="clear" w:color="auto" w:fill="FFFFFF"/>
        </w:rPr>
        <w:t>entrepreneur</w:t>
      </w:r>
      <w:r w:rsidR="00D60B69">
        <w:rPr>
          <w:rFonts w:ascii="Cambria" w:hAnsi="Cambria" w:cs="Arial"/>
          <w:shd w:val="clear" w:color="auto" w:fill="FFFFFF"/>
        </w:rPr>
        <w:t>ial</w:t>
      </w:r>
      <w:r w:rsidR="00794A0B">
        <w:rPr>
          <w:rFonts w:ascii="Cambria" w:hAnsi="Cambria" w:cs="Arial"/>
          <w:shd w:val="clear" w:color="auto" w:fill="FFFFFF"/>
        </w:rPr>
        <w:t xml:space="preserve"> </w:t>
      </w:r>
      <w:r w:rsidR="00D60B69">
        <w:rPr>
          <w:rFonts w:ascii="Cambria" w:hAnsi="Cambria" w:cs="Arial"/>
          <w:shd w:val="clear" w:color="auto" w:fill="FFFFFF"/>
        </w:rPr>
        <w:t>leaders</w:t>
      </w:r>
      <w:r w:rsidR="00090369" w:rsidRPr="00394AC7">
        <w:rPr>
          <w:rFonts w:ascii="Cambria" w:hAnsi="Cambria" w:cs="Arial"/>
          <w:shd w:val="clear" w:color="auto" w:fill="FFFFFF"/>
        </w:rPr>
        <w:t>.</w:t>
      </w:r>
      <w:r w:rsidR="00794A0B">
        <w:rPr>
          <w:rFonts w:ascii="Cambria" w:hAnsi="Cambria" w:cs="Calibri"/>
        </w:rPr>
        <w:t xml:space="preserve"> The program has an active student-led CEO </w:t>
      </w:r>
      <w:proofErr w:type="gramStart"/>
      <w:r w:rsidR="00794A0B">
        <w:rPr>
          <w:rFonts w:ascii="Cambria" w:hAnsi="Cambria" w:cs="Calibri"/>
        </w:rPr>
        <w:t>Chapter</w:t>
      </w:r>
      <w:proofErr w:type="gramEnd"/>
      <w:r w:rsidR="00794A0B">
        <w:rPr>
          <w:rFonts w:ascii="Cambria" w:hAnsi="Cambria" w:cs="Calibri"/>
        </w:rPr>
        <w:t xml:space="preserve"> and its students </w:t>
      </w:r>
      <w:r w:rsidR="00B02C58">
        <w:rPr>
          <w:rFonts w:ascii="Cambria" w:hAnsi="Cambria" w:cs="Calibri"/>
        </w:rPr>
        <w:t xml:space="preserve">successfully </w:t>
      </w:r>
      <w:r w:rsidR="00794A0B">
        <w:rPr>
          <w:rFonts w:ascii="Cambria" w:hAnsi="Cambria" w:cs="Calibri"/>
        </w:rPr>
        <w:t>compete in regional, national, and international pitch competitions.</w:t>
      </w:r>
    </w:p>
    <w:p w14:paraId="2E83F6FF" w14:textId="77777777" w:rsidR="00C93D91" w:rsidRPr="005A3E3E" w:rsidRDefault="00C93D91" w:rsidP="00C93D91">
      <w:pPr>
        <w:spacing w:after="0"/>
        <w:rPr>
          <w:rFonts w:ascii="Cambria" w:hAnsi="Cambria"/>
        </w:rPr>
      </w:pPr>
    </w:p>
    <w:p w14:paraId="17A770CD" w14:textId="463856DD" w:rsidR="00C93D91" w:rsidRPr="00920522" w:rsidRDefault="00C93D91" w:rsidP="00C93D91">
      <w:pPr>
        <w:spacing w:after="0"/>
        <w:rPr>
          <w:rFonts w:ascii="Cambria" w:hAnsi="Cambria"/>
          <w:bCs/>
        </w:rPr>
      </w:pPr>
      <w:r w:rsidRPr="005A3E3E">
        <w:rPr>
          <w:rFonts w:ascii="Cambria" w:hAnsi="Cambria"/>
        </w:rPr>
        <w:t xml:space="preserve">The </w:t>
      </w:r>
      <w:r w:rsidRPr="00547A24">
        <w:rPr>
          <w:rFonts w:ascii="Cambria" w:hAnsi="Cambria"/>
          <w:bCs/>
        </w:rPr>
        <w:t>Departme</w:t>
      </w:r>
      <w:r w:rsidR="00704E04" w:rsidRPr="00547A24">
        <w:rPr>
          <w:rFonts w:ascii="Cambria" w:hAnsi="Cambria"/>
          <w:bCs/>
        </w:rPr>
        <w:t>nt of Management</w:t>
      </w:r>
      <w:r w:rsidR="00704E04">
        <w:rPr>
          <w:rFonts w:ascii="Cambria" w:hAnsi="Cambria"/>
          <w:b/>
        </w:rPr>
        <w:t xml:space="preserve"> </w:t>
      </w:r>
      <w:r w:rsidR="00E46683">
        <w:rPr>
          <w:rFonts w:ascii="Cambria" w:hAnsi="Cambria"/>
          <w:bCs/>
        </w:rPr>
        <w:t xml:space="preserve">is home to a wide variety of academic disciplines.  </w:t>
      </w:r>
      <w:r w:rsidR="0015788D">
        <w:rPr>
          <w:rFonts w:ascii="Cambria" w:hAnsi="Cambria"/>
          <w:bCs/>
        </w:rPr>
        <w:t xml:space="preserve">In addition to </w:t>
      </w:r>
      <w:r w:rsidR="00E91ECF">
        <w:rPr>
          <w:rFonts w:ascii="Cambria" w:hAnsi="Cambria"/>
          <w:bCs/>
        </w:rPr>
        <w:t>Entrepreneurship</w:t>
      </w:r>
      <w:r w:rsidR="0015788D">
        <w:rPr>
          <w:rFonts w:ascii="Cambria" w:hAnsi="Cambria"/>
          <w:bCs/>
        </w:rPr>
        <w:t xml:space="preserve">, </w:t>
      </w:r>
      <w:r w:rsidR="00584EDA">
        <w:rPr>
          <w:rFonts w:ascii="Cambria" w:hAnsi="Cambria"/>
          <w:bCs/>
        </w:rPr>
        <w:t xml:space="preserve">majors and minors within the department include </w:t>
      </w:r>
      <w:r w:rsidR="002A50DE">
        <w:rPr>
          <w:rFonts w:ascii="Cambria" w:hAnsi="Cambria"/>
          <w:bCs/>
        </w:rPr>
        <w:t xml:space="preserve">Management, </w:t>
      </w:r>
      <w:r w:rsidR="009378A9">
        <w:rPr>
          <w:rFonts w:ascii="Cambria" w:hAnsi="Cambria"/>
          <w:bCs/>
        </w:rPr>
        <w:t xml:space="preserve">Business Law, </w:t>
      </w:r>
      <w:r w:rsidR="00E91ECF">
        <w:rPr>
          <w:rFonts w:ascii="Cambria" w:hAnsi="Cambria"/>
          <w:bCs/>
        </w:rPr>
        <w:t>Human Resources</w:t>
      </w:r>
      <w:r w:rsidR="00584EDA">
        <w:rPr>
          <w:rFonts w:ascii="Cambria" w:hAnsi="Cambria"/>
          <w:bCs/>
        </w:rPr>
        <w:t>, Family Enterprise</w:t>
      </w:r>
      <w:r w:rsidR="002D08EC">
        <w:rPr>
          <w:rFonts w:ascii="Cambria" w:hAnsi="Cambria"/>
          <w:bCs/>
        </w:rPr>
        <w:t xml:space="preserve">, International Business, </w:t>
      </w:r>
      <w:r w:rsidR="009378A9">
        <w:rPr>
          <w:rFonts w:ascii="Cambria" w:hAnsi="Cambria"/>
          <w:bCs/>
        </w:rPr>
        <w:t>Professional Sales</w:t>
      </w:r>
      <w:r w:rsidR="00471417">
        <w:rPr>
          <w:rFonts w:ascii="Cambria" w:hAnsi="Cambria"/>
          <w:bCs/>
        </w:rPr>
        <w:t>, and Sport Business.</w:t>
      </w:r>
    </w:p>
    <w:p w14:paraId="0D9F2BFD" w14:textId="77777777" w:rsidR="00C93D91" w:rsidRPr="005A3E3E" w:rsidRDefault="00C93D91" w:rsidP="00C93D91">
      <w:pPr>
        <w:shd w:val="clear" w:color="auto" w:fill="FFFFFF"/>
        <w:spacing w:before="120" w:after="0" w:line="240" w:lineRule="auto"/>
        <w:rPr>
          <w:rFonts w:ascii="Cambria" w:eastAsia="Times New Roman" w:hAnsi="Cambria" w:cs="Times New Roman"/>
          <w:b/>
          <w:bCs/>
          <w:smallCaps/>
          <w:sz w:val="10"/>
        </w:rPr>
      </w:pPr>
    </w:p>
    <w:p w14:paraId="2E672F46" w14:textId="77777777" w:rsidR="00C93D91" w:rsidRPr="005A3E3E" w:rsidRDefault="00C93D91" w:rsidP="00C93D91">
      <w:pPr>
        <w:shd w:val="clear" w:color="auto" w:fill="FFFFFF"/>
        <w:spacing w:before="120" w:after="0" w:line="240" w:lineRule="auto"/>
        <w:rPr>
          <w:rFonts w:ascii="Cambria" w:eastAsia="Times New Roman" w:hAnsi="Cambria" w:cs="Times New Roman"/>
          <w:b/>
          <w:bCs/>
        </w:rPr>
      </w:pPr>
      <w:r w:rsidRPr="005A3E3E">
        <w:rPr>
          <w:rFonts w:ascii="Cambria" w:eastAsia="Times New Roman" w:hAnsi="Cambria" w:cs="Times New Roman"/>
          <w:b/>
          <w:bCs/>
          <w:smallCaps/>
        </w:rPr>
        <w:t>The School of Business Administration</w:t>
      </w:r>
      <w:r w:rsidRPr="005A3E3E">
        <w:rPr>
          <w:rFonts w:ascii="Cambria" w:eastAsia="Times New Roman" w:hAnsi="Cambria" w:cs="Times New Roman"/>
          <w:b/>
          <w:bCs/>
        </w:rPr>
        <w:t xml:space="preserve">: </w:t>
      </w:r>
    </w:p>
    <w:p w14:paraId="478D6A45" w14:textId="0A4A3BBA" w:rsidR="00CF6865" w:rsidRPr="005A3E3E" w:rsidRDefault="00C93D91" w:rsidP="00C93D91">
      <w:pPr>
        <w:shd w:val="clear" w:color="auto" w:fill="FFFFFF"/>
        <w:spacing w:before="120" w:after="0"/>
        <w:rPr>
          <w:rFonts w:ascii="Cambria" w:eastAsia="Times New Roman" w:hAnsi="Cambria" w:cs="Times New Roman"/>
        </w:rPr>
      </w:pPr>
      <w:r w:rsidRPr="005A3E3E">
        <w:rPr>
          <w:rFonts w:ascii="Cambria" w:eastAsia="Times New Roman" w:hAnsi="Cambria" w:cs="Times New Roman"/>
        </w:rPr>
        <w:t>Stetson's School of Business Administration (</w:t>
      </w:r>
      <w:hyperlink r:id="rId10" w:history="1">
        <w:r w:rsidRPr="005A3E3E">
          <w:rPr>
            <w:rStyle w:val="Hyperlink"/>
            <w:rFonts w:ascii="Cambria" w:eastAsia="Times New Roman" w:hAnsi="Cambria" w:cs="Times New Roman"/>
            <w:color w:val="525252" w:themeColor="accent3" w:themeShade="80"/>
          </w:rPr>
          <w:t>www.stetson.edu/business</w:t>
        </w:r>
      </w:hyperlink>
      <w:r w:rsidRPr="005A3E3E">
        <w:rPr>
          <w:rFonts w:ascii="Cambria" w:eastAsia="Times New Roman" w:hAnsi="Cambria" w:cs="Times New Roman"/>
        </w:rPr>
        <w:t xml:space="preserve">) is one of </w:t>
      </w:r>
      <w:r w:rsidR="00DF023E">
        <w:rPr>
          <w:rFonts w:ascii="Cambria" w:eastAsia="Times New Roman" w:hAnsi="Cambria" w:cs="Times New Roman"/>
        </w:rPr>
        <w:t xml:space="preserve">approximately </w:t>
      </w:r>
      <w:r w:rsidR="003172B4" w:rsidRPr="005A3E3E">
        <w:rPr>
          <w:rFonts w:ascii="Cambria" w:eastAsia="Times New Roman" w:hAnsi="Cambria" w:cs="Times New Roman"/>
        </w:rPr>
        <w:t>1</w:t>
      </w:r>
      <w:r w:rsidR="009378A9">
        <w:rPr>
          <w:rFonts w:ascii="Cambria" w:eastAsia="Times New Roman" w:hAnsi="Cambria" w:cs="Times New Roman"/>
        </w:rPr>
        <w:t>90</w:t>
      </w:r>
      <w:r w:rsidR="003172B4" w:rsidRPr="005A3E3E">
        <w:rPr>
          <w:rFonts w:ascii="Cambria" w:eastAsia="Times New Roman" w:hAnsi="Cambria" w:cs="Times New Roman"/>
        </w:rPr>
        <w:t xml:space="preserve"> </w:t>
      </w:r>
      <w:r w:rsidRPr="005A3E3E">
        <w:rPr>
          <w:rFonts w:ascii="Cambria" w:eastAsia="Times New Roman" w:hAnsi="Cambria" w:cs="Times New Roman"/>
        </w:rPr>
        <w:t xml:space="preserve">elite business schools that has both business and accounting programs accredited by AACSB International.  </w:t>
      </w:r>
    </w:p>
    <w:p w14:paraId="40D378FC" w14:textId="04F0C8C2" w:rsidR="00CF6865" w:rsidRPr="005A3E3E" w:rsidRDefault="00C93D91" w:rsidP="00C93D91">
      <w:pPr>
        <w:shd w:val="clear" w:color="auto" w:fill="FFFFFF"/>
        <w:spacing w:before="120" w:after="0"/>
        <w:rPr>
          <w:rFonts w:ascii="Cambria" w:eastAsia="Times New Roman" w:hAnsi="Cambria" w:cs="Times New Roman"/>
        </w:rPr>
      </w:pPr>
      <w:r w:rsidRPr="005A3E3E">
        <w:rPr>
          <w:rFonts w:ascii="Cambria" w:eastAsia="Times New Roman" w:hAnsi="Cambria" w:cs="Times New Roman"/>
        </w:rPr>
        <w:lastRenderedPageBreak/>
        <w:t xml:space="preserve">The School of Business Administration is </w:t>
      </w:r>
      <w:r w:rsidR="00CF6865" w:rsidRPr="005A3E3E">
        <w:rPr>
          <w:rFonts w:ascii="Cambria" w:eastAsia="Times New Roman" w:hAnsi="Cambria" w:cs="Times New Roman"/>
        </w:rPr>
        <w:t>well</w:t>
      </w:r>
      <w:r w:rsidR="009378A9">
        <w:rPr>
          <w:rFonts w:ascii="Cambria" w:eastAsia="Times New Roman" w:hAnsi="Cambria" w:cs="Times New Roman"/>
        </w:rPr>
        <w:t>-</w:t>
      </w:r>
      <w:r w:rsidR="00CF6865" w:rsidRPr="005A3E3E">
        <w:rPr>
          <w:rFonts w:ascii="Cambria" w:eastAsia="Times New Roman" w:hAnsi="Cambria" w:cs="Times New Roman"/>
        </w:rPr>
        <w:t>known</w:t>
      </w:r>
      <w:r w:rsidRPr="005A3E3E">
        <w:rPr>
          <w:rFonts w:ascii="Cambria" w:eastAsia="Times New Roman" w:hAnsi="Cambria" w:cs="Times New Roman"/>
        </w:rPr>
        <w:t xml:space="preserve"> for its academically rigorous learning environment. In small classes and </w:t>
      </w:r>
      <w:r w:rsidR="003172B4" w:rsidRPr="005A3E3E">
        <w:rPr>
          <w:rFonts w:ascii="Cambria" w:eastAsia="Times New Roman" w:hAnsi="Cambria" w:cs="Times New Roman"/>
        </w:rPr>
        <w:t>through experiential learning</w:t>
      </w:r>
      <w:r w:rsidRPr="005A3E3E">
        <w:rPr>
          <w:rFonts w:ascii="Cambria" w:eastAsia="Times New Roman" w:hAnsi="Cambria" w:cs="Times New Roman"/>
        </w:rPr>
        <w:t xml:space="preserve">, faculty mentors help students achieve their academic and professional goals. </w:t>
      </w:r>
      <w:r w:rsidR="00874C63">
        <w:rPr>
          <w:rFonts w:ascii="Cambria" w:eastAsia="Times New Roman" w:hAnsi="Cambria" w:cs="Times New Roman"/>
        </w:rPr>
        <w:t xml:space="preserve"> </w:t>
      </w:r>
      <w:r w:rsidRPr="005A3E3E">
        <w:rPr>
          <w:rFonts w:ascii="Cambria" w:eastAsia="Times New Roman" w:hAnsi="Cambria" w:cs="Times New Roman"/>
        </w:rPr>
        <w:t xml:space="preserve">All members of the University community share a commitment to social and ethical responsibility, leadership development, and lifelong learning. </w:t>
      </w:r>
    </w:p>
    <w:p w14:paraId="0BD53012" w14:textId="17F04C6B" w:rsidR="00C93D91" w:rsidRPr="005A3E3E" w:rsidRDefault="00C93D91" w:rsidP="00C93D91">
      <w:pPr>
        <w:shd w:val="clear" w:color="auto" w:fill="FFFFFF"/>
        <w:spacing w:before="120" w:after="0"/>
        <w:rPr>
          <w:rFonts w:ascii="Cambria" w:eastAsia="Times New Roman" w:hAnsi="Cambria" w:cs="Times New Roman"/>
        </w:rPr>
      </w:pPr>
      <w:r w:rsidRPr="005A3E3E">
        <w:rPr>
          <w:rFonts w:ascii="Cambria" w:eastAsia="Times New Roman" w:hAnsi="Cambria" w:cs="Times New Roman"/>
        </w:rPr>
        <w:t xml:space="preserve">The </w:t>
      </w:r>
      <w:proofErr w:type="gramStart"/>
      <w:r w:rsidRPr="005A3E3E">
        <w:rPr>
          <w:rFonts w:ascii="Cambria" w:eastAsia="Times New Roman" w:hAnsi="Cambria" w:cs="Times New Roman"/>
        </w:rPr>
        <w:t>School</w:t>
      </w:r>
      <w:proofErr w:type="gramEnd"/>
      <w:r w:rsidRPr="005A3E3E">
        <w:rPr>
          <w:rFonts w:ascii="Cambria" w:eastAsia="Times New Roman" w:hAnsi="Cambria" w:cs="Times New Roman"/>
        </w:rPr>
        <w:t xml:space="preserve"> offers a </w:t>
      </w:r>
      <w:r w:rsidR="00CF6865" w:rsidRPr="005A3E3E">
        <w:rPr>
          <w:rFonts w:ascii="Cambria" w:eastAsia="Times New Roman" w:hAnsi="Cambria" w:cs="Times New Roman"/>
        </w:rPr>
        <w:t>B</w:t>
      </w:r>
      <w:r w:rsidRPr="005A3E3E">
        <w:rPr>
          <w:rFonts w:ascii="Cambria" w:eastAsia="Times New Roman" w:hAnsi="Cambria" w:cs="Times New Roman"/>
        </w:rPr>
        <w:t xml:space="preserve">achelor of </w:t>
      </w:r>
      <w:r w:rsidR="00CF6865" w:rsidRPr="005A3E3E">
        <w:rPr>
          <w:rFonts w:ascii="Cambria" w:eastAsia="Times New Roman" w:hAnsi="Cambria" w:cs="Times New Roman"/>
        </w:rPr>
        <w:t>B</w:t>
      </w:r>
      <w:r w:rsidRPr="005A3E3E">
        <w:rPr>
          <w:rFonts w:ascii="Cambria" w:eastAsia="Times New Roman" w:hAnsi="Cambria" w:cs="Times New Roman"/>
        </w:rPr>
        <w:t xml:space="preserve">usiness </w:t>
      </w:r>
      <w:r w:rsidR="00CF6865" w:rsidRPr="005A3E3E">
        <w:rPr>
          <w:rFonts w:ascii="Cambria" w:eastAsia="Times New Roman" w:hAnsi="Cambria" w:cs="Times New Roman"/>
        </w:rPr>
        <w:t>A</w:t>
      </w:r>
      <w:r w:rsidRPr="005A3E3E">
        <w:rPr>
          <w:rFonts w:ascii="Cambria" w:eastAsia="Times New Roman" w:hAnsi="Cambria" w:cs="Times New Roman"/>
        </w:rPr>
        <w:t xml:space="preserve">dministration, a </w:t>
      </w:r>
      <w:r w:rsidR="00CF6865" w:rsidRPr="005A3E3E">
        <w:rPr>
          <w:rFonts w:ascii="Cambria" w:eastAsia="Times New Roman" w:hAnsi="Cambria" w:cs="Times New Roman"/>
        </w:rPr>
        <w:t>M</w:t>
      </w:r>
      <w:r w:rsidRPr="005A3E3E">
        <w:rPr>
          <w:rFonts w:ascii="Cambria" w:eastAsia="Times New Roman" w:hAnsi="Cambria" w:cs="Times New Roman"/>
        </w:rPr>
        <w:t xml:space="preserve">aster of </w:t>
      </w:r>
      <w:r w:rsidR="00CF6865" w:rsidRPr="005A3E3E">
        <w:rPr>
          <w:rFonts w:ascii="Cambria" w:eastAsia="Times New Roman" w:hAnsi="Cambria" w:cs="Times New Roman"/>
        </w:rPr>
        <w:t>A</w:t>
      </w:r>
      <w:r w:rsidRPr="005A3E3E">
        <w:rPr>
          <w:rFonts w:ascii="Cambria" w:eastAsia="Times New Roman" w:hAnsi="Cambria" w:cs="Times New Roman"/>
        </w:rPr>
        <w:t xml:space="preserve">ccountancy, </w:t>
      </w:r>
      <w:r w:rsidR="009378A9">
        <w:rPr>
          <w:rFonts w:ascii="Cambria" w:eastAsia="Times New Roman" w:hAnsi="Cambria" w:cs="Times New Roman"/>
        </w:rPr>
        <w:t xml:space="preserve">and </w:t>
      </w:r>
      <w:r w:rsidRPr="005A3E3E">
        <w:rPr>
          <w:rFonts w:ascii="Cambria" w:eastAsia="Times New Roman" w:hAnsi="Cambria" w:cs="Times New Roman"/>
        </w:rPr>
        <w:t xml:space="preserve">a </w:t>
      </w:r>
      <w:r w:rsidR="00CF6865" w:rsidRPr="005A3E3E">
        <w:rPr>
          <w:rFonts w:ascii="Cambria" w:eastAsia="Times New Roman" w:hAnsi="Cambria" w:cs="Times New Roman"/>
        </w:rPr>
        <w:t>M</w:t>
      </w:r>
      <w:r w:rsidRPr="005A3E3E">
        <w:rPr>
          <w:rFonts w:ascii="Cambria" w:eastAsia="Times New Roman" w:hAnsi="Cambria" w:cs="Times New Roman"/>
        </w:rPr>
        <w:t xml:space="preserve">aster of </w:t>
      </w:r>
      <w:r w:rsidR="00CF6865" w:rsidRPr="005A3E3E">
        <w:rPr>
          <w:rFonts w:ascii="Cambria" w:eastAsia="Times New Roman" w:hAnsi="Cambria" w:cs="Times New Roman"/>
        </w:rPr>
        <w:t>B</w:t>
      </w:r>
      <w:r w:rsidRPr="005A3E3E">
        <w:rPr>
          <w:rFonts w:ascii="Cambria" w:eastAsia="Times New Roman" w:hAnsi="Cambria" w:cs="Times New Roman"/>
        </w:rPr>
        <w:t>usiness</w:t>
      </w:r>
      <w:r w:rsidR="00CF6865" w:rsidRPr="005A3E3E">
        <w:rPr>
          <w:rFonts w:ascii="Cambria" w:eastAsia="Times New Roman" w:hAnsi="Cambria" w:cs="Times New Roman"/>
        </w:rPr>
        <w:t xml:space="preserve"> A</w:t>
      </w:r>
      <w:r w:rsidRPr="005A3E3E">
        <w:rPr>
          <w:rFonts w:ascii="Cambria" w:eastAsia="Times New Roman" w:hAnsi="Cambria" w:cs="Times New Roman"/>
        </w:rPr>
        <w:t>dministration</w:t>
      </w:r>
      <w:r w:rsidR="003172B4" w:rsidRPr="005A3E3E">
        <w:rPr>
          <w:rFonts w:ascii="Cambria" w:eastAsia="Times New Roman" w:hAnsi="Cambria" w:cs="Times New Roman"/>
        </w:rPr>
        <w:t xml:space="preserve">.  The </w:t>
      </w:r>
      <w:proofErr w:type="gramStart"/>
      <w:r w:rsidR="003172B4" w:rsidRPr="005A3E3E">
        <w:rPr>
          <w:rFonts w:ascii="Cambria" w:eastAsia="Times New Roman" w:hAnsi="Cambria" w:cs="Times New Roman"/>
        </w:rPr>
        <w:t>School</w:t>
      </w:r>
      <w:proofErr w:type="gramEnd"/>
      <w:r w:rsidR="003172B4" w:rsidRPr="005A3E3E">
        <w:rPr>
          <w:rFonts w:ascii="Cambria" w:eastAsia="Times New Roman" w:hAnsi="Cambria" w:cs="Times New Roman"/>
        </w:rPr>
        <w:t xml:space="preserve"> is home to </w:t>
      </w:r>
      <w:r w:rsidRPr="005A3E3E">
        <w:rPr>
          <w:rFonts w:ascii="Cambria" w:eastAsia="Times New Roman" w:hAnsi="Cambria" w:cs="Times New Roman"/>
        </w:rPr>
        <w:t>several distinctive programs</w:t>
      </w:r>
      <w:r w:rsidR="003172B4" w:rsidRPr="005A3E3E">
        <w:rPr>
          <w:rFonts w:ascii="Cambria" w:eastAsia="Times New Roman" w:hAnsi="Cambria" w:cs="Times New Roman"/>
        </w:rPr>
        <w:t>,</w:t>
      </w:r>
      <w:r w:rsidRPr="005A3E3E">
        <w:rPr>
          <w:rFonts w:ascii="Cambria" w:eastAsia="Times New Roman" w:hAnsi="Cambria" w:cs="Times New Roman"/>
        </w:rPr>
        <w:t xml:space="preserve"> including the Joseph C. Prince Program in Entrepreneurship, the Roland and Sarah George Investments Institute, the Family Enterprise </w:t>
      </w:r>
      <w:r w:rsidR="003172B4" w:rsidRPr="005A3E3E">
        <w:rPr>
          <w:rFonts w:ascii="Cambria" w:eastAsia="Times New Roman" w:hAnsi="Cambria" w:cs="Times New Roman"/>
        </w:rPr>
        <w:t>P</w:t>
      </w:r>
      <w:r w:rsidRPr="005A3E3E">
        <w:rPr>
          <w:rFonts w:ascii="Cambria" w:eastAsia="Times New Roman" w:hAnsi="Cambria" w:cs="Times New Roman"/>
        </w:rPr>
        <w:t xml:space="preserve">rogram, the Centurion Sales Program, and </w:t>
      </w:r>
      <w:r w:rsidR="003172B4" w:rsidRPr="005A3E3E">
        <w:rPr>
          <w:rFonts w:ascii="Cambria" w:eastAsia="Times New Roman" w:hAnsi="Cambria" w:cs="Times New Roman"/>
        </w:rPr>
        <w:t>an extensive complement of s</w:t>
      </w:r>
      <w:r w:rsidRPr="005A3E3E">
        <w:rPr>
          <w:rFonts w:ascii="Cambria" w:eastAsia="Times New Roman" w:hAnsi="Cambria" w:cs="Times New Roman"/>
        </w:rPr>
        <w:t xml:space="preserve">tudy </w:t>
      </w:r>
      <w:r w:rsidR="003172B4" w:rsidRPr="005A3E3E">
        <w:rPr>
          <w:rFonts w:ascii="Cambria" w:eastAsia="Times New Roman" w:hAnsi="Cambria" w:cs="Times New Roman"/>
        </w:rPr>
        <w:t>a</w:t>
      </w:r>
      <w:r w:rsidRPr="005A3E3E">
        <w:rPr>
          <w:rFonts w:ascii="Cambria" w:eastAsia="Times New Roman" w:hAnsi="Cambria" w:cs="Times New Roman"/>
        </w:rPr>
        <w:t xml:space="preserve">broad </w:t>
      </w:r>
      <w:r w:rsidR="003172B4" w:rsidRPr="005A3E3E">
        <w:rPr>
          <w:rFonts w:ascii="Cambria" w:eastAsia="Times New Roman" w:hAnsi="Cambria" w:cs="Times New Roman"/>
        </w:rPr>
        <w:t>p</w:t>
      </w:r>
      <w:r w:rsidRPr="005A3E3E">
        <w:rPr>
          <w:rFonts w:ascii="Cambria" w:eastAsia="Times New Roman" w:hAnsi="Cambria" w:cs="Times New Roman"/>
        </w:rPr>
        <w:t>rogram</w:t>
      </w:r>
      <w:r w:rsidR="003172B4" w:rsidRPr="005A3E3E">
        <w:rPr>
          <w:rFonts w:ascii="Cambria" w:eastAsia="Times New Roman" w:hAnsi="Cambria" w:cs="Times New Roman"/>
        </w:rPr>
        <w:t>s</w:t>
      </w:r>
      <w:r w:rsidR="00CF6865" w:rsidRPr="005A3E3E">
        <w:rPr>
          <w:rFonts w:ascii="Cambria" w:eastAsia="Times New Roman" w:hAnsi="Cambria" w:cs="Times New Roman"/>
        </w:rPr>
        <w:t xml:space="preserve">. </w:t>
      </w:r>
      <w:r w:rsidRPr="005A3E3E">
        <w:rPr>
          <w:rFonts w:ascii="Cambria" w:eastAsia="Times New Roman" w:hAnsi="Cambria" w:cs="Times New Roman"/>
        </w:rPr>
        <w:t xml:space="preserve">The </w:t>
      </w:r>
      <w:proofErr w:type="gramStart"/>
      <w:r w:rsidRPr="005A3E3E">
        <w:rPr>
          <w:rFonts w:ascii="Cambria" w:eastAsia="Times New Roman" w:hAnsi="Cambria" w:cs="Times New Roman"/>
        </w:rPr>
        <w:t>School</w:t>
      </w:r>
      <w:proofErr w:type="gramEnd"/>
      <w:r w:rsidRPr="005A3E3E">
        <w:rPr>
          <w:rFonts w:ascii="Cambria" w:eastAsia="Times New Roman" w:hAnsi="Cambria" w:cs="Times New Roman"/>
        </w:rPr>
        <w:t xml:space="preserve"> sponsors chapters of both </w:t>
      </w:r>
      <w:r w:rsidR="003172B4" w:rsidRPr="005A3E3E">
        <w:rPr>
          <w:rFonts w:ascii="Cambria" w:eastAsia="Times New Roman" w:hAnsi="Cambria" w:cs="Times New Roman"/>
        </w:rPr>
        <w:t xml:space="preserve">Beta Gamma Sigma and </w:t>
      </w:r>
      <w:r w:rsidRPr="005A3E3E">
        <w:rPr>
          <w:rFonts w:ascii="Cambria" w:eastAsia="Times New Roman" w:hAnsi="Cambria" w:cs="Times New Roman"/>
        </w:rPr>
        <w:t>Beta Alpha Psi</w:t>
      </w:r>
      <w:r w:rsidR="003172B4" w:rsidRPr="005A3E3E">
        <w:rPr>
          <w:rFonts w:ascii="Cambria" w:eastAsia="Times New Roman" w:hAnsi="Cambria" w:cs="Times New Roman"/>
        </w:rPr>
        <w:t>.</w:t>
      </w:r>
    </w:p>
    <w:p w14:paraId="0CA1D1D3" w14:textId="3964328B" w:rsidR="00CF6865" w:rsidRPr="005A3E3E" w:rsidRDefault="00CF6865" w:rsidP="00CF6865">
      <w:pPr>
        <w:shd w:val="clear" w:color="auto" w:fill="FFFFFF"/>
        <w:spacing w:before="120" w:after="0"/>
        <w:rPr>
          <w:rFonts w:ascii="Cambria" w:eastAsia="Times New Roman" w:hAnsi="Cambria" w:cs="Times New Roman"/>
        </w:rPr>
      </w:pPr>
      <w:r w:rsidRPr="005A3E3E">
        <w:rPr>
          <w:rFonts w:ascii="Cambria" w:eastAsia="Times New Roman" w:hAnsi="Cambria" w:cs="Times New Roman"/>
        </w:rPr>
        <w:t xml:space="preserve">The </w:t>
      </w:r>
      <w:proofErr w:type="gramStart"/>
      <w:r w:rsidRPr="005A3E3E">
        <w:rPr>
          <w:rFonts w:ascii="Cambria" w:eastAsia="Times New Roman" w:hAnsi="Cambria" w:cs="Times New Roman"/>
        </w:rPr>
        <w:t>School's</w:t>
      </w:r>
      <w:proofErr w:type="gramEnd"/>
      <w:r w:rsidRPr="005A3E3E">
        <w:rPr>
          <w:rFonts w:ascii="Cambria" w:eastAsia="Times New Roman" w:hAnsi="Cambria" w:cs="Times New Roman"/>
        </w:rPr>
        <w:t xml:space="preserve"> programs are based at t</w:t>
      </w:r>
      <w:r w:rsidR="00DF023E">
        <w:rPr>
          <w:rFonts w:ascii="Cambria" w:eastAsia="Times New Roman" w:hAnsi="Cambria" w:cs="Times New Roman"/>
        </w:rPr>
        <w:t>wo</w:t>
      </w:r>
      <w:r w:rsidRPr="005A3E3E">
        <w:rPr>
          <w:rFonts w:ascii="Cambria" w:eastAsia="Times New Roman" w:hAnsi="Cambria" w:cs="Times New Roman"/>
        </w:rPr>
        <w:t xml:space="preserve"> of Stetson’s campuses:</w:t>
      </w:r>
    </w:p>
    <w:p w14:paraId="36FB305E" w14:textId="77777777" w:rsidR="00CF6865" w:rsidRPr="005A3E3E" w:rsidRDefault="00CF6865" w:rsidP="00CF6865">
      <w:pPr>
        <w:shd w:val="clear" w:color="auto" w:fill="FFFFFF"/>
        <w:spacing w:before="120" w:after="0"/>
        <w:rPr>
          <w:rFonts w:ascii="Cambria" w:eastAsia="Times New Roman" w:hAnsi="Cambria" w:cs="Times New Roman"/>
          <w:sz w:val="6"/>
        </w:rPr>
      </w:pPr>
    </w:p>
    <w:p w14:paraId="6123FE52" w14:textId="26934066" w:rsidR="00CF6865" w:rsidRPr="009B58BF" w:rsidRDefault="00CF6865" w:rsidP="009B58BF">
      <w:pPr>
        <w:numPr>
          <w:ilvl w:val="0"/>
          <w:numId w:val="1"/>
        </w:numPr>
        <w:shd w:val="clear" w:color="auto" w:fill="FFFFFF"/>
        <w:spacing w:after="0"/>
        <w:rPr>
          <w:rFonts w:ascii="Cambria" w:eastAsia="Times New Roman" w:hAnsi="Cambria" w:cs="Times New Roman"/>
        </w:rPr>
      </w:pPr>
      <w:r w:rsidRPr="005A3E3E">
        <w:rPr>
          <w:rFonts w:ascii="Cambria" w:eastAsia="Times New Roman" w:hAnsi="Cambria" w:cs="Times New Roman"/>
        </w:rPr>
        <w:t xml:space="preserve">The DeLand campus hosts undergraduate and graduate programs in the Lynn Business Center, a state-of-the-art teaching facility. </w:t>
      </w:r>
    </w:p>
    <w:p w14:paraId="3CE0874D" w14:textId="77777777" w:rsidR="00CF6865" w:rsidRPr="005A3E3E" w:rsidRDefault="00CF6865" w:rsidP="00CF6865">
      <w:pPr>
        <w:numPr>
          <w:ilvl w:val="0"/>
          <w:numId w:val="1"/>
        </w:numPr>
        <w:shd w:val="clear" w:color="auto" w:fill="FFFFFF"/>
        <w:spacing w:after="0"/>
        <w:rPr>
          <w:rFonts w:ascii="Cambria" w:eastAsia="Times New Roman" w:hAnsi="Cambria" w:cs="Times New Roman"/>
        </w:rPr>
      </w:pPr>
      <w:r w:rsidRPr="005A3E3E">
        <w:rPr>
          <w:rFonts w:ascii="Cambria" w:eastAsia="Times New Roman" w:hAnsi="Cambria" w:cs="Times New Roman"/>
        </w:rPr>
        <w:t>The Gulfport campus, home of the College of Law, hosts components of the JD/MBA program.</w:t>
      </w:r>
    </w:p>
    <w:p w14:paraId="590E25FC" w14:textId="77777777" w:rsidR="00C93D91" w:rsidRPr="00C93D91" w:rsidRDefault="00C93D91" w:rsidP="00C93D91">
      <w:pPr>
        <w:shd w:val="clear" w:color="auto" w:fill="FFFFFF"/>
        <w:spacing w:before="120" w:after="0" w:line="240" w:lineRule="auto"/>
        <w:rPr>
          <w:rFonts w:ascii="Cambria" w:eastAsia="Times New Roman" w:hAnsi="Cambria" w:cs="Times New Roman"/>
          <w:b/>
          <w:bCs/>
          <w:smallCaps/>
          <w:sz w:val="8"/>
        </w:rPr>
      </w:pPr>
    </w:p>
    <w:p w14:paraId="0ED4240B" w14:textId="77777777" w:rsidR="00C93D91" w:rsidRPr="00C93D91" w:rsidRDefault="00C93D91" w:rsidP="00C93D91">
      <w:pPr>
        <w:shd w:val="clear" w:color="auto" w:fill="FFFFFF"/>
        <w:spacing w:before="120" w:after="0" w:line="240" w:lineRule="auto"/>
        <w:rPr>
          <w:rFonts w:ascii="Cambria" w:eastAsia="Times New Roman" w:hAnsi="Cambria" w:cs="Times New Roman"/>
        </w:rPr>
      </w:pPr>
      <w:r w:rsidRPr="00C93D91">
        <w:rPr>
          <w:rFonts w:ascii="Cambria" w:eastAsia="Times New Roman" w:hAnsi="Cambria" w:cs="Times New Roman"/>
          <w:b/>
          <w:bCs/>
          <w:smallCaps/>
        </w:rPr>
        <w:t>The University</w:t>
      </w:r>
      <w:r w:rsidRPr="00C93D91">
        <w:rPr>
          <w:rFonts w:ascii="Cambria" w:eastAsia="Times New Roman" w:hAnsi="Cambria" w:cs="Times New Roman"/>
          <w:b/>
          <w:bCs/>
        </w:rPr>
        <w:t>:</w:t>
      </w:r>
      <w:r w:rsidRPr="00C93D91">
        <w:rPr>
          <w:rFonts w:ascii="Cambria" w:eastAsia="Times New Roman" w:hAnsi="Cambria" w:cs="Times New Roman"/>
        </w:rPr>
        <w:t xml:space="preserve">  </w:t>
      </w:r>
    </w:p>
    <w:p w14:paraId="7B777842" w14:textId="7CB8EC4E" w:rsidR="00C93D91" w:rsidRPr="00C93D91" w:rsidRDefault="00C93D91" w:rsidP="00C93D91">
      <w:pPr>
        <w:shd w:val="clear" w:color="auto" w:fill="FFFFFF"/>
        <w:spacing w:before="120" w:after="0"/>
        <w:rPr>
          <w:rFonts w:ascii="Cambria" w:eastAsia="Times New Roman" w:hAnsi="Cambria" w:cs="Times New Roman"/>
        </w:rPr>
      </w:pPr>
      <w:r w:rsidRPr="00C93D91">
        <w:rPr>
          <w:rFonts w:ascii="Cambria" w:eastAsia="Times New Roman" w:hAnsi="Cambria" w:cs="Times New Roman"/>
        </w:rPr>
        <w:t>Founded in 1883, Stetson University (</w:t>
      </w:r>
      <w:hyperlink r:id="rId11" w:history="1">
        <w:r w:rsidRPr="00C93D91">
          <w:rPr>
            <w:rStyle w:val="Hyperlink"/>
            <w:rFonts w:ascii="Cambria" w:eastAsia="Times New Roman" w:hAnsi="Cambria" w:cs="Times New Roman"/>
            <w:color w:val="525252" w:themeColor="accent3" w:themeShade="80"/>
          </w:rPr>
          <w:t>www.stetson.edu</w:t>
        </w:r>
      </w:hyperlink>
      <w:r w:rsidRPr="00C93D91">
        <w:rPr>
          <w:rFonts w:ascii="Cambria" w:eastAsia="Times New Roman" w:hAnsi="Cambria" w:cs="Times New Roman"/>
        </w:rPr>
        <w:t xml:space="preserve">) is a private, selective university comprised of a rich array of liberal arts and professional academic programs. Collectively, Stetson’s faculty works with nearly 4,000 students in undergraduate, graduate, and professional programs. The University’s historic main campus, located in DeLand, enrolls </w:t>
      </w:r>
      <w:r w:rsidR="00EF13B2">
        <w:rPr>
          <w:rFonts w:ascii="Cambria" w:eastAsia="Times New Roman" w:hAnsi="Cambria" w:cs="Times New Roman"/>
        </w:rPr>
        <w:t>nearly</w:t>
      </w:r>
      <w:r w:rsidRPr="00C93D91">
        <w:rPr>
          <w:rFonts w:ascii="Cambria" w:eastAsia="Times New Roman" w:hAnsi="Cambria" w:cs="Times New Roman"/>
        </w:rPr>
        <w:t xml:space="preserve"> 3,000 students in undergraduate programs in the College of Arts &amp; Sciences, the School of Business Administration, and the School of Music. Stetson University College of Law, Florida’s first law school, moved from the main campus to Gulfport in 1954, and, with the addition of the Tampa Law Center, serves approximately 1,000 students working full-time or part-time toward J.D. or LL.M. degrees. Graduate programs offered at the main campus include Business, Accounting, Elementary Education – Education for Social Justice, Educational Leadership, Counseling, and Creative Writing.  Florida’s oldest private institution of higher learning, Stetson has regularly been ranked among the best regional universities in the Southeast and was the first private college in Florida to be granted a chapter of Phi Beta Kappa.</w:t>
      </w:r>
    </w:p>
    <w:p w14:paraId="314D7A02" w14:textId="77777777" w:rsidR="00C93D91" w:rsidRDefault="00C93D91" w:rsidP="00C93D91">
      <w:pPr>
        <w:shd w:val="clear" w:color="auto" w:fill="FFFFFF"/>
        <w:spacing w:before="120" w:after="0"/>
        <w:rPr>
          <w:rFonts w:ascii="Cambria" w:eastAsia="Times New Roman" w:hAnsi="Cambria" w:cs="Times New Roman"/>
        </w:rPr>
      </w:pPr>
      <w:r w:rsidRPr="00C93D91">
        <w:rPr>
          <w:rFonts w:ascii="Cambria" w:eastAsia="Times New Roman" w:hAnsi="Cambria" w:cs="Times New Roman"/>
        </w:rPr>
        <w:t>Stetson University provides an inspiring education that engages students with rigorous academic and creative study grounded in liberal learning and promotes civic values of personal and social responsibility. Working closely with faculty and with one another, students cultivate abilities to explore issues deeply, think critically, reason empirically, speak persuasively, and connect ideas creatively. Firmly committed to inclusive excellence, our vibrant community of teacher-scholars nurtures the potential of individual students to lead lives of significance and prepares each to meet the challenges of shaping the future—locally, nationally, and globally.</w:t>
      </w:r>
    </w:p>
    <w:p w14:paraId="044E6649" w14:textId="77777777" w:rsidR="00C93D91" w:rsidRPr="00C93D91" w:rsidRDefault="00C93D91" w:rsidP="00C93D91">
      <w:pPr>
        <w:shd w:val="clear" w:color="auto" w:fill="FFFFFF"/>
        <w:spacing w:before="120" w:after="0"/>
        <w:rPr>
          <w:rFonts w:ascii="Cambria" w:eastAsia="Times New Roman" w:hAnsi="Cambria" w:cs="Times New Roman"/>
          <w:sz w:val="4"/>
        </w:rPr>
      </w:pPr>
    </w:p>
    <w:p w14:paraId="4EB6C3E7" w14:textId="77777777" w:rsidR="00C93D91" w:rsidRPr="00C93D91" w:rsidRDefault="00C93D91" w:rsidP="00C93D91">
      <w:pPr>
        <w:shd w:val="clear" w:color="auto" w:fill="FFFFFF"/>
        <w:spacing w:before="120" w:after="0" w:line="240" w:lineRule="auto"/>
        <w:rPr>
          <w:rFonts w:ascii="Cambria" w:eastAsia="Times New Roman" w:hAnsi="Cambria" w:cs="Times New Roman"/>
        </w:rPr>
      </w:pPr>
      <w:r w:rsidRPr="00C93D91">
        <w:rPr>
          <w:rFonts w:ascii="Cambria" w:eastAsia="Times New Roman" w:hAnsi="Cambria" w:cs="Times New Roman"/>
          <w:b/>
          <w:smallCaps/>
        </w:rPr>
        <w:t>The Community</w:t>
      </w:r>
      <w:r w:rsidRPr="00C93D91">
        <w:rPr>
          <w:rFonts w:ascii="Cambria" w:eastAsia="Times New Roman" w:hAnsi="Cambria" w:cs="Times New Roman"/>
        </w:rPr>
        <w:t>:</w:t>
      </w:r>
    </w:p>
    <w:p w14:paraId="54865666" w14:textId="77777777" w:rsidR="00C93D91" w:rsidRPr="00C93D91" w:rsidRDefault="00C93D91" w:rsidP="00C93D91">
      <w:pPr>
        <w:shd w:val="clear" w:color="auto" w:fill="FFFFFF"/>
        <w:spacing w:before="120" w:after="0"/>
        <w:rPr>
          <w:rFonts w:ascii="Cambria" w:eastAsia="Times New Roman" w:hAnsi="Cambria" w:cs="Times New Roman"/>
        </w:rPr>
      </w:pPr>
      <w:r w:rsidRPr="00C93D91">
        <w:rPr>
          <w:rFonts w:ascii="Cambria" w:eastAsia="Times New Roman" w:hAnsi="Cambria" w:cs="Times New Roman"/>
        </w:rPr>
        <w:t>DeLand is a picturesque residential community of 32,000 located 20 miles west of Daytona Beach and 35 miles northeast of Orlando. The area offers extensive cultural as well as recreational activities.</w:t>
      </w:r>
    </w:p>
    <w:p w14:paraId="40AD6CF5" w14:textId="77777777" w:rsidR="00C93D91" w:rsidRPr="00C93D91" w:rsidRDefault="00C93D91" w:rsidP="00C93D91">
      <w:pPr>
        <w:shd w:val="clear" w:color="auto" w:fill="FFFFFF"/>
        <w:spacing w:before="120" w:after="0" w:line="240" w:lineRule="auto"/>
        <w:rPr>
          <w:rFonts w:ascii="Cambria" w:eastAsia="Times New Roman" w:hAnsi="Cambria" w:cs="Times New Roman"/>
        </w:rPr>
      </w:pPr>
      <w:r w:rsidRPr="00C93D91">
        <w:rPr>
          <w:rFonts w:ascii="Cambria" w:eastAsia="Times New Roman" w:hAnsi="Cambria" w:cs="Times New Roman"/>
          <w:b/>
          <w:bCs/>
          <w:smallCaps/>
        </w:rPr>
        <w:t>Salary</w:t>
      </w:r>
      <w:r w:rsidRPr="00C93D91">
        <w:rPr>
          <w:rFonts w:ascii="Cambria" w:eastAsia="Times New Roman" w:hAnsi="Cambria" w:cs="Times New Roman"/>
          <w:b/>
          <w:bCs/>
        </w:rPr>
        <w:t>:</w:t>
      </w:r>
      <w:r w:rsidRPr="00C93D91">
        <w:rPr>
          <w:rFonts w:ascii="Cambria" w:eastAsia="Times New Roman" w:hAnsi="Cambria" w:cs="Times New Roman"/>
        </w:rPr>
        <w:t xml:space="preserve">  </w:t>
      </w:r>
      <w:r w:rsidRPr="00C93D91">
        <w:rPr>
          <w:rFonts w:ascii="Cambria" w:eastAsia="Times New Roman" w:hAnsi="Cambria" w:cs="Times New Roman"/>
        </w:rPr>
        <w:tab/>
      </w:r>
      <w:r w:rsidRPr="00C93D91">
        <w:rPr>
          <w:rFonts w:ascii="Cambria" w:eastAsia="Times New Roman" w:hAnsi="Cambria" w:cs="Times New Roman"/>
        </w:rPr>
        <w:tab/>
        <w:t>Salary is competitive.</w:t>
      </w:r>
    </w:p>
    <w:p w14:paraId="5839CE0A" w14:textId="3B1746DE" w:rsidR="00C93D91" w:rsidRPr="00C93D91" w:rsidRDefault="00C93D91" w:rsidP="00C93D91">
      <w:pPr>
        <w:shd w:val="clear" w:color="auto" w:fill="FFFFFF"/>
        <w:spacing w:before="120" w:after="0" w:line="240" w:lineRule="auto"/>
        <w:rPr>
          <w:rFonts w:ascii="Cambria" w:eastAsia="Times New Roman" w:hAnsi="Cambria" w:cs="Times New Roman"/>
        </w:rPr>
      </w:pPr>
      <w:r w:rsidRPr="00C93D91">
        <w:rPr>
          <w:rFonts w:ascii="Cambria" w:eastAsia="Times New Roman" w:hAnsi="Cambria" w:cs="Times New Roman"/>
          <w:b/>
          <w:bCs/>
          <w:smallCaps/>
        </w:rPr>
        <w:t>Starting Date</w:t>
      </w:r>
      <w:r w:rsidRPr="00C93D91">
        <w:rPr>
          <w:rFonts w:ascii="Cambria" w:eastAsia="Times New Roman" w:hAnsi="Cambria" w:cs="Times New Roman"/>
          <w:b/>
          <w:bCs/>
        </w:rPr>
        <w:t>:</w:t>
      </w:r>
      <w:r w:rsidRPr="00C93D91">
        <w:rPr>
          <w:rFonts w:ascii="Cambria" w:eastAsia="Times New Roman" w:hAnsi="Cambria" w:cs="Times New Roman"/>
        </w:rPr>
        <w:t xml:space="preserve">  </w:t>
      </w:r>
      <w:r w:rsidRPr="00C93D91">
        <w:rPr>
          <w:rFonts w:ascii="Cambria" w:eastAsia="Times New Roman" w:hAnsi="Cambria" w:cs="Times New Roman"/>
        </w:rPr>
        <w:tab/>
      </w:r>
      <w:r w:rsidR="00155497">
        <w:rPr>
          <w:rFonts w:ascii="Cambria" w:eastAsia="Times New Roman" w:hAnsi="Cambria" w:cs="Times New Roman"/>
        </w:rPr>
        <w:t xml:space="preserve">August </w:t>
      </w:r>
      <w:r w:rsidR="00152307">
        <w:rPr>
          <w:rFonts w:ascii="Cambria" w:eastAsia="Times New Roman" w:hAnsi="Cambria" w:cs="Times New Roman"/>
        </w:rPr>
        <w:t xml:space="preserve">15, </w:t>
      </w:r>
      <w:proofErr w:type="gramStart"/>
      <w:r w:rsidR="0004636F">
        <w:rPr>
          <w:rFonts w:ascii="Cambria" w:eastAsia="Times New Roman" w:hAnsi="Cambria" w:cs="Times New Roman"/>
        </w:rPr>
        <w:t>2023</w:t>
      </w:r>
      <w:proofErr w:type="gramEnd"/>
      <w:r w:rsidR="00152307">
        <w:rPr>
          <w:rFonts w:ascii="Cambria" w:eastAsia="Times New Roman" w:hAnsi="Cambria" w:cs="Times New Roman"/>
        </w:rPr>
        <w:t xml:space="preserve"> or negotiable</w:t>
      </w:r>
    </w:p>
    <w:p w14:paraId="3CA24A12" w14:textId="77777777" w:rsidR="00C93D91" w:rsidRPr="00C93D91" w:rsidRDefault="00C93D91" w:rsidP="00C93D91">
      <w:pPr>
        <w:shd w:val="clear" w:color="auto" w:fill="FFFFFF"/>
        <w:spacing w:before="120" w:after="0" w:line="240" w:lineRule="auto"/>
        <w:rPr>
          <w:rFonts w:ascii="Cambria" w:eastAsia="Times New Roman" w:hAnsi="Cambria" w:cs="Times New Roman"/>
        </w:rPr>
      </w:pPr>
      <w:r w:rsidRPr="00C93D91">
        <w:rPr>
          <w:rFonts w:ascii="Cambria" w:eastAsia="Times New Roman" w:hAnsi="Cambria" w:cs="Times New Roman"/>
          <w:b/>
          <w:bCs/>
          <w:smallCaps/>
        </w:rPr>
        <w:lastRenderedPageBreak/>
        <w:t>Application</w:t>
      </w:r>
      <w:r w:rsidRPr="00C93D91">
        <w:rPr>
          <w:rFonts w:ascii="Cambria" w:eastAsia="Times New Roman" w:hAnsi="Cambria" w:cs="Times New Roman"/>
          <w:b/>
          <w:bCs/>
        </w:rPr>
        <w:t>:</w:t>
      </w:r>
      <w:r w:rsidRPr="00C93D91">
        <w:rPr>
          <w:rFonts w:ascii="Cambria" w:eastAsia="Times New Roman" w:hAnsi="Cambria" w:cs="Times New Roman"/>
        </w:rPr>
        <w:t xml:space="preserve"> </w:t>
      </w:r>
    </w:p>
    <w:p w14:paraId="390078B8" w14:textId="77777777" w:rsidR="00C93D91" w:rsidRPr="00C93D91" w:rsidRDefault="00C93D91" w:rsidP="00C93D91">
      <w:pPr>
        <w:tabs>
          <w:tab w:val="left" w:pos="0"/>
        </w:tabs>
        <w:spacing w:before="120" w:after="0"/>
        <w:rPr>
          <w:rFonts w:ascii="Cambria" w:hAnsi="Cambria"/>
        </w:rPr>
      </w:pPr>
      <w:r w:rsidRPr="00C93D91">
        <w:rPr>
          <w:rFonts w:ascii="Cambria" w:hAnsi="Cambria"/>
        </w:rPr>
        <w:t xml:space="preserve">Applicants must send the following materials for consideration: </w:t>
      </w:r>
    </w:p>
    <w:p w14:paraId="6223FF10" w14:textId="1FC45A8B" w:rsidR="00C93D91" w:rsidRPr="00C93D91" w:rsidRDefault="00C93D91" w:rsidP="00C93D91">
      <w:pPr>
        <w:numPr>
          <w:ilvl w:val="0"/>
          <w:numId w:val="2"/>
        </w:numPr>
        <w:tabs>
          <w:tab w:val="left" w:pos="0"/>
        </w:tabs>
        <w:spacing w:after="0"/>
        <w:rPr>
          <w:rFonts w:ascii="Cambria" w:hAnsi="Cambria"/>
        </w:rPr>
      </w:pPr>
      <w:r w:rsidRPr="00C93D91">
        <w:rPr>
          <w:rFonts w:ascii="Cambria" w:hAnsi="Cambria"/>
        </w:rPr>
        <w:t xml:space="preserve">Letter of application addressing </w:t>
      </w:r>
      <w:r w:rsidR="007E7422">
        <w:rPr>
          <w:rFonts w:ascii="Cambria" w:hAnsi="Cambria"/>
        </w:rPr>
        <w:t>entrepreneurship,</w:t>
      </w:r>
      <w:r w:rsidR="00CF2F6F">
        <w:rPr>
          <w:rFonts w:ascii="Cambria" w:hAnsi="Cambria"/>
        </w:rPr>
        <w:t xml:space="preserve"> leadership, and </w:t>
      </w:r>
      <w:r w:rsidRPr="00C93D91">
        <w:rPr>
          <w:rFonts w:ascii="Cambria" w:hAnsi="Cambria"/>
        </w:rPr>
        <w:t xml:space="preserve">teaching achievements. </w:t>
      </w:r>
    </w:p>
    <w:p w14:paraId="0FAD17E5" w14:textId="4AD24CC7" w:rsidR="004E33AF" w:rsidRPr="00C93D91" w:rsidRDefault="00C93D91" w:rsidP="00C93D91">
      <w:pPr>
        <w:numPr>
          <w:ilvl w:val="0"/>
          <w:numId w:val="2"/>
        </w:numPr>
        <w:tabs>
          <w:tab w:val="left" w:pos="0"/>
        </w:tabs>
        <w:spacing w:after="0"/>
        <w:rPr>
          <w:rFonts w:ascii="Cambria" w:hAnsi="Cambria"/>
        </w:rPr>
      </w:pPr>
      <w:r w:rsidRPr="00C93D91">
        <w:rPr>
          <w:rFonts w:ascii="Cambria" w:hAnsi="Cambria"/>
        </w:rPr>
        <w:t>Detailed Curriculum Vitae</w:t>
      </w:r>
      <w:r w:rsidR="00640A73">
        <w:rPr>
          <w:rFonts w:ascii="Cambria" w:hAnsi="Cambria"/>
        </w:rPr>
        <w:t>.</w:t>
      </w:r>
    </w:p>
    <w:p w14:paraId="669859FF" w14:textId="197F65E4" w:rsidR="007273FB" w:rsidRPr="00C93D91" w:rsidRDefault="004E33AF" w:rsidP="004E33AF">
      <w:pPr>
        <w:numPr>
          <w:ilvl w:val="0"/>
          <w:numId w:val="2"/>
        </w:numPr>
        <w:tabs>
          <w:tab w:val="left" w:pos="0"/>
        </w:tabs>
        <w:spacing w:after="0"/>
        <w:rPr>
          <w:rFonts w:ascii="Cambria" w:hAnsi="Cambria"/>
        </w:rPr>
      </w:pPr>
      <w:r w:rsidRPr="004E33AF">
        <w:rPr>
          <w:rFonts w:ascii="Cambria" w:hAnsi="Cambria"/>
        </w:rPr>
        <w:t>The names and contact information of three professional references, at least two of whom can provide an evaluation of teaching ability (if the candidate has previous teaching experience).</w:t>
      </w:r>
    </w:p>
    <w:p w14:paraId="7D6B8BCF" w14:textId="4774A4BC" w:rsidR="00C93D91" w:rsidRPr="00C93D91" w:rsidRDefault="00624E8B" w:rsidP="00C93D91">
      <w:pPr>
        <w:numPr>
          <w:ilvl w:val="0"/>
          <w:numId w:val="3"/>
        </w:numPr>
        <w:tabs>
          <w:tab w:val="left" w:pos="0"/>
        </w:tabs>
        <w:spacing w:after="0"/>
        <w:rPr>
          <w:rFonts w:ascii="Cambria" w:hAnsi="Cambria"/>
        </w:rPr>
      </w:pPr>
      <w:r>
        <w:rPr>
          <w:rFonts w:ascii="Cambria" w:hAnsi="Cambria"/>
        </w:rPr>
        <w:t>Copies of undergraduate and g</w:t>
      </w:r>
      <w:r w:rsidR="00C93D91" w:rsidRPr="00C93D91">
        <w:rPr>
          <w:rFonts w:ascii="Cambria" w:hAnsi="Cambria"/>
        </w:rPr>
        <w:t>raduate transcripts</w:t>
      </w:r>
      <w:r w:rsidR="00640A73">
        <w:rPr>
          <w:rFonts w:ascii="Cambria" w:hAnsi="Cambria"/>
        </w:rPr>
        <w:t>.</w:t>
      </w:r>
    </w:p>
    <w:p w14:paraId="21DF71E5" w14:textId="77591309" w:rsidR="00C93D91" w:rsidRPr="00640A73" w:rsidRDefault="00640A73" w:rsidP="00640A73">
      <w:pPr>
        <w:numPr>
          <w:ilvl w:val="0"/>
          <w:numId w:val="3"/>
        </w:numPr>
        <w:tabs>
          <w:tab w:val="left" w:pos="0"/>
        </w:tabs>
        <w:spacing w:after="0"/>
        <w:rPr>
          <w:rFonts w:ascii="Cambria" w:hAnsi="Cambria"/>
        </w:rPr>
      </w:pPr>
      <w:r>
        <w:rPr>
          <w:rFonts w:ascii="Cambria" w:hAnsi="Cambria"/>
        </w:rPr>
        <w:t xml:space="preserve">Copies of </w:t>
      </w:r>
      <w:r w:rsidRPr="00364E94">
        <w:rPr>
          <w:rFonts w:ascii="Cambria" w:hAnsi="Cambria"/>
        </w:rPr>
        <w:t>publications or other relevant documents.</w:t>
      </w:r>
    </w:p>
    <w:p w14:paraId="14213509" w14:textId="77777777" w:rsidR="00C93D91" w:rsidRPr="00C93D91" w:rsidRDefault="00C93D91" w:rsidP="00C93D91">
      <w:pPr>
        <w:tabs>
          <w:tab w:val="left" w:pos="0"/>
        </w:tabs>
        <w:spacing w:after="0"/>
        <w:rPr>
          <w:rFonts w:ascii="Cambria" w:hAnsi="Cambria"/>
        </w:rPr>
      </w:pPr>
    </w:p>
    <w:p w14:paraId="39450BA5" w14:textId="169E9E6D" w:rsidR="00C93D91" w:rsidRPr="00C93D91" w:rsidRDefault="00C93D91" w:rsidP="00C93D91">
      <w:pPr>
        <w:tabs>
          <w:tab w:val="left" w:pos="0"/>
        </w:tabs>
        <w:spacing w:after="0"/>
        <w:rPr>
          <w:rFonts w:ascii="Cambria" w:hAnsi="Cambria"/>
        </w:rPr>
      </w:pPr>
      <w:r w:rsidRPr="00C93D91">
        <w:rPr>
          <w:rFonts w:ascii="Cambria" w:hAnsi="Cambria"/>
        </w:rPr>
        <w:t xml:space="preserve">Candidates are encouraged to highlight skills and experiences that demonstrate a commitment to </w:t>
      </w:r>
      <w:r w:rsidR="003172B4">
        <w:rPr>
          <w:rFonts w:ascii="Cambria" w:hAnsi="Cambria"/>
        </w:rPr>
        <w:t xml:space="preserve">social justice, </w:t>
      </w:r>
      <w:r w:rsidR="00874C63" w:rsidRPr="00C93D91">
        <w:rPr>
          <w:rFonts w:ascii="Cambria" w:hAnsi="Cambria"/>
        </w:rPr>
        <w:t>diversity,</w:t>
      </w:r>
      <w:r w:rsidRPr="00C93D91">
        <w:rPr>
          <w:rFonts w:ascii="Cambria" w:hAnsi="Cambria"/>
        </w:rPr>
        <w:t xml:space="preserve"> and inclusion. Application materials may be submitted electronically t</w:t>
      </w:r>
      <w:r w:rsidR="00822459">
        <w:rPr>
          <w:rFonts w:ascii="Cambria" w:hAnsi="Cambria"/>
        </w:rPr>
        <w:t>o</w:t>
      </w:r>
      <w:r w:rsidR="004C2D05">
        <w:rPr>
          <w:rFonts w:ascii="Cambria" w:hAnsi="Cambria"/>
        </w:rPr>
        <w:t xml:space="preserve"> ENTPP</w:t>
      </w:r>
      <w:r w:rsidR="00341442">
        <w:rPr>
          <w:rFonts w:ascii="Cambria" w:hAnsi="Cambria"/>
        </w:rPr>
        <w:t>O</w:t>
      </w:r>
      <w:r w:rsidR="004C2D05">
        <w:rPr>
          <w:rFonts w:ascii="Cambria" w:hAnsi="Cambria"/>
        </w:rPr>
        <w:t>P@stetson.edu</w:t>
      </w:r>
      <w:r w:rsidRPr="00C93D91">
        <w:rPr>
          <w:rFonts w:ascii="Cambria" w:hAnsi="Cambria"/>
        </w:rPr>
        <w:t>. While electronic submissions are preferred, alternatively application materials may be mailed to:</w:t>
      </w:r>
    </w:p>
    <w:p w14:paraId="28DC9E79" w14:textId="77777777" w:rsidR="00C93D91" w:rsidRPr="00C93D91" w:rsidRDefault="00C93D91" w:rsidP="00C93D91">
      <w:pPr>
        <w:tabs>
          <w:tab w:val="left" w:pos="0"/>
        </w:tabs>
        <w:spacing w:after="0"/>
        <w:rPr>
          <w:rFonts w:ascii="Cambria" w:hAnsi="Cambria"/>
        </w:rPr>
      </w:pPr>
    </w:p>
    <w:p w14:paraId="32B84028" w14:textId="578CCD78" w:rsidR="00C93D91" w:rsidRPr="00C93D91" w:rsidRDefault="002B7789" w:rsidP="00C93D91">
      <w:pPr>
        <w:tabs>
          <w:tab w:val="left" w:pos="360"/>
        </w:tabs>
        <w:spacing w:after="0"/>
        <w:ind w:left="360"/>
        <w:rPr>
          <w:rFonts w:ascii="Cambria" w:hAnsi="Cambria"/>
        </w:rPr>
      </w:pPr>
      <w:r>
        <w:rPr>
          <w:rFonts w:ascii="Cambria" w:hAnsi="Cambria"/>
        </w:rPr>
        <w:t xml:space="preserve">Kevin </w:t>
      </w:r>
      <w:r w:rsidR="003A6653">
        <w:rPr>
          <w:rFonts w:ascii="Cambria" w:hAnsi="Cambria"/>
        </w:rPr>
        <w:t xml:space="preserve">P. </w:t>
      </w:r>
      <w:r>
        <w:rPr>
          <w:rFonts w:ascii="Cambria" w:hAnsi="Cambria"/>
        </w:rPr>
        <w:t>Taylor</w:t>
      </w:r>
      <w:r w:rsidR="00C93D91" w:rsidRPr="00C93D91">
        <w:rPr>
          <w:rFonts w:ascii="Cambria" w:hAnsi="Cambria"/>
        </w:rPr>
        <w:t>, Search Committee Chair</w:t>
      </w:r>
    </w:p>
    <w:p w14:paraId="6181FAD9" w14:textId="77777777" w:rsidR="00C93D91" w:rsidRPr="00C93D91" w:rsidRDefault="00C93D91" w:rsidP="00C93D91">
      <w:pPr>
        <w:tabs>
          <w:tab w:val="left" w:pos="360"/>
        </w:tabs>
        <w:spacing w:after="0"/>
        <w:ind w:left="360"/>
        <w:rPr>
          <w:rFonts w:ascii="Cambria" w:hAnsi="Cambria"/>
        </w:rPr>
      </w:pPr>
      <w:r w:rsidRPr="00C93D91">
        <w:rPr>
          <w:rFonts w:ascii="Cambria" w:hAnsi="Cambria"/>
        </w:rPr>
        <w:t>School of Business Administration</w:t>
      </w:r>
      <w:r w:rsidRPr="00C93D91">
        <w:rPr>
          <w:rFonts w:ascii="Cambria" w:hAnsi="Cambria"/>
        </w:rPr>
        <w:br/>
        <w:t>Stetson University</w:t>
      </w:r>
      <w:r w:rsidRPr="00C93D91">
        <w:rPr>
          <w:rFonts w:ascii="Cambria" w:hAnsi="Cambria"/>
        </w:rPr>
        <w:br/>
        <w:t>421 N. Woodland Blvd. Unit 8398</w:t>
      </w:r>
      <w:r w:rsidRPr="00C93D91">
        <w:rPr>
          <w:rFonts w:ascii="Cambria" w:hAnsi="Cambria"/>
        </w:rPr>
        <w:br/>
        <w:t>DeLand, FL 32723</w:t>
      </w:r>
    </w:p>
    <w:p w14:paraId="52813923" w14:textId="77777777" w:rsidR="00C93D91" w:rsidRPr="00C93D91" w:rsidRDefault="00C93D91" w:rsidP="00C93D91">
      <w:pPr>
        <w:spacing w:after="0"/>
        <w:rPr>
          <w:rFonts w:ascii="Cambria" w:hAnsi="Cambria"/>
        </w:rPr>
      </w:pPr>
    </w:p>
    <w:p w14:paraId="4279D98B" w14:textId="0540C38C" w:rsidR="00C93D91" w:rsidRPr="00C93D91" w:rsidRDefault="00C93D91" w:rsidP="00C93D91">
      <w:pPr>
        <w:spacing w:after="0"/>
        <w:rPr>
          <w:rFonts w:ascii="Cambria" w:hAnsi="Cambria"/>
        </w:rPr>
      </w:pPr>
      <w:r w:rsidRPr="00C93D91">
        <w:rPr>
          <w:rFonts w:ascii="Cambria" w:hAnsi="Cambria"/>
        </w:rPr>
        <w:t xml:space="preserve">All correspondence will be held in strictest confidence.  The Search Committee will immediately begin reviewing </w:t>
      </w:r>
      <w:proofErr w:type="gramStart"/>
      <w:r w:rsidRPr="00C93D91">
        <w:rPr>
          <w:rFonts w:ascii="Cambria" w:hAnsi="Cambria"/>
        </w:rPr>
        <w:t>applications, and</w:t>
      </w:r>
      <w:proofErr w:type="gramEnd"/>
      <w:r w:rsidRPr="00C93D91">
        <w:rPr>
          <w:rFonts w:ascii="Cambria" w:hAnsi="Cambria"/>
        </w:rPr>
        <w:t xml:space="preserve"> will </w:t>
      </w:r>
      <w:r w:rsidR="00EE2F37">
        <w:rPr>
          <w:rFonts w:ascii="Cambria" w:hAnsi="Cambria"/>
        </w:rPr>
        <w:t>continue</w:t>
      </w:r>
      <w:r w:rsidR="00F00633">
        <w:rPr>
          <w:rFonts w:ascii="Cambria" w:hAnsi="Cambria"/>
        </w:rPr>
        <w:t xml:space="preserve"> to </w:t>
      </w:r>
      <w:r w:rsidR="00624E8B">
        <w:rPr>
          <w:rFonts w:ascii="Cambria" w:hAnsi="Cambria"/>
        </w:rPr>
        <w:t xml:space="preserve">do so </w:t>
      </w:r>
      <w:r w:rsidRPr="00C93D91">
        <w:rPr>
          <w:rFonts w:ascii="Cambria" w:hAnsi="Cambria"/>
        </w:rPr>
        <w:t>until the position is filled.</w:t>
      </w:r>
    </w:p>
    <w:p w14:paraId="579B7D91" w14:textId="77777777" w:rsidR="00C93D91" w:rsidRPr="00C93D91" w:rsidRDefault="00C93D91" w:rsidP="00C93D91">
      <w:pPr>
        <w:spacing w:after="0"/>
        <w:rPr>
          <w:rFonts w:ascii="Cambria" w:hAnsi="Cambria"/>
        </w:rPr>
      </w:pPr>
    </w:p>
    <w:p w14:paraId="032CF5E0" w14:textId="77777777" w:rsidR="00C93D91" w:rsidRPr="00C93D91" w:rsidRDefault="00C93D91" w:rsidP="00C93D91">
      <w:pPr>
        <w:spacing w:after="0"/>
        <w:rPr>
          <w:rFonts w:ascii="Cambria" w:hAnsi="Cambria"/>
          <w:i/>
        </w:rPr>
      </w:pPr>
      <w:r w:rsidRPr="00C93D91">
        <w:rPr>
          <w:rFonts w:ascii="Cambria" w:hAnsi="Cambria"/>
          <w:i/>
        </w:rPr>
        <w:t xml:space="preserve">Stetson University is an Equal Opportunity Employer that affirms cultural diversity and inclusion as a core value of academic excellence at Stetson University. We are committed to achieving equal access in education, employment, and participation through the recruitment and retention of outstanding faculty, staff, and students from diverse backgrounds, and to meaningful academic and intellectual transformation in curriculum, research and service. We are dedicated to actions and policies that foster a community in which individuals with various identities, cultures, backgrounds, and viewpoints work together to create opportunities for engagement through rewarding and fulfilling careers and personal experiences in a culturally and racially diverse society and a globalized world. We strongly encourage members of historically under-represented and </w:t>
      </w:r>
      <w:proofErr w:type="gramStart"/>
      <w:r w:rsidRPr="00C93D91">
        <w:rPr>
          <w:rFonts w:ascii="Cambria" w:hAnsi="Cambria"/>
          <w:i/>
        </w:rPr>
        <w:t>economically-disadvantaged</w:t>
      </w:r>
      <w:proofErr w:type="gramEnd"/>
      <w:r w:rsidRPr="00C93D91">
        <w:rPr>
          <w:rFonts w:ascii="Cambria" w:hAnsi="Cambria"/>
          <w:i/>
        </w:rPr>
        <w:t xml:space="preserve"> groups and women to apply for employment. Stetson University is an EEO, ADA, ADEA, and GINA employer.</w:t>
      </w:r>
    </w:p>
    <w:p w14:paraId="6EE14FD0" w14:textId="77777777" w:rsidR="00176A60" w:rsidRPr="00C93D91" w:rsidRDefault="00176A60">
      <w:pPr>
        <w:rPr>
          <w:rFonts w:ascii="Cambria" w:hAnsi="Cambria"/>
        </w:rPr>
      </w:pPr>
    </w:p>
    <w:sectPr w:rsidR="00176A60" w:rsidRPr="00C93D91" w:rsidSect="00CF186F">
      <w:headerReference w:type="first" r:id="rId12"/>
      <w:pgSz w:w="12240" w:h="15840"/>
      <w:pgMar w:top="1440" w:right="1296" w:bottom="1296" w:left="1296" w:header="99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CB18E" w14:textId="77777777" w:rsidR="00FC7275" w:rsidRDefault="00FC7275">
      <w:pPr>
        <w:spacing w:after="0" w:line="240" w:lineRule="auto"/>
      </w:pPr>
      <w:r>
        <w:separator/>
      </w:r>
    </w:p>
  </w:endnote>
  <w:endnote w:type="continuationSeparator" w:id="0">
    <w:p w14:paraId="603CA524" w14:textId="77777777" w:rsidR="00FC7275" w:rsidRDefault="00FC7275">
      <w:pPr>
        <w:spacing w:after="0" w:line="240" w:lineRule="auto"/>
      </w:pPr>
      <w:r>
        <w:continuationSeparator/>
      </w:r>
    </w:p>
  </w:endnote>
  <w:endnote w:type="continuationNotice" w:id="1">
    <w:p w14:paraId="188F83BB" w14:textId="77777777" w:rsidR="00FC7275" w:rsidRDefault="00FC72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5FDE5" w14:textId="77777777" w:rsidR="00FC7275" w:rsidRDefault="00FC7275">
      <w:pPr>
        <w:spacing w:after="0" w:line="240" w:lineRule="auto"/>
      </w:pPr>
      <w:r>
        <w:separator/>
      </w:r>
    </w:p>
  </w:footnote>
  <w:footnote w:type="continuationSeparator" w:id="0">
    <w:p w14:paraId="10ACB994" w14:textId="77777777" w:rsidR="00FC7275" w:rsidRDefault="00FC7275">
      <w:pPr>
        <w:spacing w:after="0" w:line="240" w:lineRule="auto"/>
      </w:pPr>
      <w:r>
        <w:continuationSeparator/>
      </w:r>
    </w:p>
  </w:footnote>
  <w:footnote w:type="continuationNotice" w:id="1">
    <w:p w14:paraId="4A623747" w14:textId="77777777" w:rsidR="00FC7275" w:rsidRDefault="00FC72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9C22" w14:textId="77777777" w:rsidR="00CF186F" w:rsidRDefault="00624E8B">
    <w:pPr>
      <w:pStyle w:val="Header"/>
    </w:pPr>
    <w:r>
      <w:rPr>
        <w:rFonts w:ascii="Times New Roman" w:eastAsia="Times New Roman" w:hAnsi="Times New Roman" w:cs="Times New Roman"/>
        <w:b/>
        <w:noProof/>
        <w:sz w:val="36"/>
        <w:szCs w:val="36"/>
      </w:rPr>
      <w:drawing>
        <wp:inline distT="0" distB="0" distL="0" distR="0" wp14:anchorId="399F53A1" wp14:editId="30582227">
          <wp:extent cx="3228975" cy="24396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tson_horizontal_CMYK_3in.jpg"/>
                  <pic:cNvPicPr/>
                </pic:nvPicPr>
                <pic:blipFill>
                  <a:blip r:embed="rId1">
                    <a:extLst>
                      <a:ext uri="{28A0092B-C50C-407E-A947-70E740481C1C}">
                        <a14:useLocalDpi xmlns:a14="http://schemas.microsoft.com/office/drawing/2010/main" val="0"/>
                      </a:ext>
                    </a:extLst>
                  </a:blip>
                  <a:stretch>
                    <a:fillRect/>
                  </a:stretch>
                </pic:blipFill>
                <pic:spPr>
                  <a:xfrm>
                    <a:off x="0" y="0"/>
                    <a:ext cx="3228975" cy="2439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47394"/>
    <w:multiLevelType w:val="hybridMultilevel"/>
    <w:tmpl w:val="417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1A5155"/>
    <w:multiLevelType w:val="hybridMultilevel"/>
    <w:tmpl w:val="F0CC7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B26511"/>
    <w:multiLevelType w:val="hybridMultilevel"/>
    <w:tmpl w:val="301C2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0385602">
    <w:abstractNumId w:val="0"/>
  </w:num>
  <w:num w:numId="2" w16cid:durableId="1875532581">
    <w:abstractNumId w:val="2"/>
  </w:num>
  <w:num w:numId="3" w16cid:durableId="1923758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wVCM2NDC0NzUwtTEyUdpeDU4uLM/DyQAsNaAPquf0ksAAAA"/>
  </w:docVars>
  <w:rsids>
    <w:rsidRoot w:val="00C93D91"/>
    <w:rsid w:val="00001EED"/>
    <w:rsid w:val="00031F36"/>
    <w:rsid w:val="00043374"/>
    <w:rsid w:val="0004636F"/>
    <w:rsid w:val="00065B09"/>
    <w:rsid w:val="00073E56"/>
    <w:rsid w:val="000776E8"/>
    <w:rsid w:val="00090369"/>
    <w:rsid w:val="000A334E"/>
    <w:rsid w:val="000B6A61"/>
    <w:rsid w:val="000E638F"/>
    <w:rsid w:val="00103AC2"/>
    <w:rsid w:val="001234DD"/>
    <w:rsid w:val="00137ED0"/>
    <w:rsid w:val="001401D8"/>
    <w:rsid w:val="00152307"/>
    <w:rsid w:val="00155497"/>
    <w:rsid w:val="0015788D"/>
    <w:rsid w:val="001673FA"/>
    <w:rsid w:val="00176A60"/>
    <w:rsid w:val="001832C3"/>
    <w:rsid w:val="00195C8F"/>
    <w:rsid w:val="001A7867"/>
    <w:rsid w:val="001C096A"/>
    <w:rsid w:val="001C27DC"/>
    <w:rsid w:val="001C7CD4"/>
    <w:rsid w:val="001D15BF"/>
    <w:rsid w:val="001E643E"/>
    <w:rsid w:val="002004FE"/>
    <w:rsid w:val="00217CCA"/>
    <w:rsid w:val="002A50DE"/>
    <w:rsid w:val="002B7789"/>
    <w:rsid w:val="002D08EC"/>
    <w:rsid w:val="002D6917"/>
    <w:rsid w:val="002E153C"/>
    <w:rsid w:val="002F38A3"/>
    <w:rsid w:val="00303447"/>
    <w:rsid w:val="003100FD"/>
    <w:rsid w:val="00316218"/>
    <w:rsid w:val="003172B4"/>
    <w:rsid w:val="00326FDD"/>
    <w:rsid w:val="0032707E"/>
    <w:rsid w:val="00341442"/>
    <w:rsid w:val="00346978"/>
    <w:rsid w:val="00364C0C"/>
    <w:rsid w:val="0039165A"/>
    <w:rsid w:val="00394AC7"/>
    <w:rsid w:val="003A6653"/>
    <w:rsid w:val="003C0E86"/>
    <w:rsid w:val="003E3367"/>
    <w:rsid w:val="003E4764"/>
    <w:rsid w:val="003E75C1"/>
    <w:rsid w:val="00423BE8"/>
    <w:rsid w:val="00425242"/>
    <w:rsid w:val="00454310"/>
    <w:rsid w:val="00471417"/>
    <w:rsid w:val="00472FFC"/>
    <w:rsid w:val="0047586B"/>
    <w:rsid w:val="00490F1C"/>
    <w:rsid w:val="004A1FED"/>
    <w:rsid w:val="004A73E6"/>
    <w:rsid w:val="004C2D05"/>
    <w:rsid w:val="004D29CB"/>
    <w:rsid w:val="004D5FED"/>
    <w:rsid w:val="004D6B50"/>
    <w:rsid w:val="004E33AF"/>
    <w:rsid w:val="004E3C34"/>
    <w:rsid w:val="004F78BE"/>
    <w:rsid w:val="00516B83"/>
    <w:rsid w:val="00547A24"/>
    <w:rsid w:val="00553166"/>
    <w:rsid w:val="00557B8F"/>
    <w:rsid w:val="00563E83"/>
    <w:rsid w:val="00572B42"/>
    <w:rsid w:val="00584EDA"/>
    <w:rsid w:val="00593EA3"/>
    <w:rsid w:val="005A004C"/>
    <w:rsid w:val="005A3E3E"/>
    <w:rsid w:val="005A728A"/>
    <w:rsid w:val="005C0B8C"/>
    <w:rsid w:val="005E4982"/>
    <w:rsid w:val="006108A8"/>
    <w:rsid w:val="00624E8B"/>
    <w:rsid w:val="00633F7C"/>
    <w:rsid w:val="00640A73"/>
    <w:rsid w:val="0064402B"/>
    <w:rsid w:val="00655028"/>
    <w:rsid w:val="0065724E"/>
    <w:rsid w:val="006608B7"/>
    <w:rsid w:val="00673C33"/>
    <w:rsid w:val="006C3DFF"/>
    <w:rsid w:val="006C42DC"/>
    <w:rsid w:val="006F7FC5"/>
    <w:rsid w:val="0070079F"/>
    <w:rsid w:val="00704E04"/>
    <w:rsid w:val="00707EEC"/>
    <w:rsid w:val="00717DD7"/>
    <w:rsid w:val="00723FDA"/>
    <w:rsid w:val="007273FB"/>
    <w:rsid w:val="00727742"/>
    <w:rsid w:val="007375B8"/>
    <w:rsid w:val="00742F8A"/>
    <w:rsid w:val="0075439C"/>
    <w:rsid w:val="007776DF"/>
    <w:rsid w:val="007836DE"/>
    <w:rsid w:val="00794A0B"/>
    <w:rsid w:val="007A4387"/>
    <w:rsid w:val="007B047C"/>
    <w:rsid w:val="007B7C04"/>
    <w:rsid w:val="007D71E6"/>
    <w:rsid w:val="007E10D3"/>
    <w:rsid w:val="007E7422"/>
    <w:rsid w:val="007F67B9"/>
    <w:rsid w:val="007F68D1"/>
    <w:rsid w:val="00810F52"/>
    <w:rsid w:val="00811DD1"/>
    <w:rsid w:val="00813AB7"/>
    <w:rsid w:val="00822459"/>
    <w:rsid w:val="00822DDB"/>
    <w:rsid w:val="00837CEC"/>
    <w:rsid w:val="00867D31"/>
    <w:rsid w:val="008717AD"/>
    <w:rsid w:val="00874C63"/>
    <w:rsid w:val="0087621A"/>
    <w:rsid w:val="008962E7"/>
    <w:rsid w:val="008B5289"/>
    <w:rsid w:val="008E5973"/>
    <w:rsid w:val="008E66A8"/>
    <w:rsid w:val="008F2DD6"/>
    <w:rsid w:val="009025F6"/>
    <w:rsid w:val="00911960"/>
    <w:rsid w:val="00917A89"/>
    <w:rsid w:val="00920522"/>
    <w:rsid w:val="009378A9"/>
    <w:rsid w:val="00952B76"/>
    <w:rsid w:val="00957201"/>
    <w:rsid w:val="00973F39"/>
    <w:rsid w:val="00973FB3"/>
    <w:rsid w:val="009779B7"/>
    <w:rsid w:val="009B58BF"/>
    <w:rsid w:val="00A0443B"/>
    <w:rsid w:val="00A06C15"/>
    <w:rsid w:val="00A237BA"/>
    <w:rsid w:val="00A47C5A"/>
    <w:rsid w:val="00A5713D"/>
    <w:rsid w:val="00A57E82"/>
    <w:rsid w:val="00AB1167"/>
    <w:rsid w:val="00AB60CD"/>
    <w:rsid w:val="00AB7F57"/>
    <w:rsid w:val="00AC53A6"/>
    <w:rsid w:val="00AD2342"/>
    <w:rsid w:val="00AE360E"/>
    <w:rsid w:val="00AF231A"/>
    <w:rsid w:val="00AF54E5"/>
    <w:rsid w:val="00B024F9"/>
    <w:rsid w:val="00B02C58"/>
    <w:rsid w:val="00B14B02"/>
    <w:rsid w:val="00B25056"/>
    <w:rsid w:val="00B4167A"/>
    <w:rsid w:val="00B4455C"/>
    <w:rsid w:val="00B53196"/>
    <w:rsid w:val="00B5614E"/>
    <w:rsid w:val="00B573D5"/>
    <w:rsid w:val="00B71EEF"/>
    <w:rsid w:val="00B7353A"/>
    <w:rsid w:val="00B80649"/>
    <w:rsid w:val="00B83836"/>
    <w:rsid w:val="00BB22BD"/>
    <w:rsid w:val="00BC1BD5"/>
    <w:rsid w:val="00BE2469"/>
    <w:rsid w:val="00BF13B6"/>
    <w:rsid w:val="00BF4E95"/>
    <w:rsid w:val="00BF6DA4"/>
    <w:rsid w:val="00C16B1E"/>
    <w:rsid w:val="00C17E79"/>
    <w:rsid w:val="00C51880"/>
    <w:rsid w:val="00C577A3"/>
    <w:rsid w:val="00C75125"/>
    <w:rsid w:val="00C93D91"/>
    <w:rsid w:val="00CB44E3"/>
    <w:rsid w:val="00CF186F"/>
    <w:rsid w:val="00CF2F6F"/>
    <w:rsid w:val="00CF6865"/>
    <w:rsid w:val="00D058AE"/>
    <w:rsid w:val="00D05CA3"/>
    <w:rsid w:val="00D124C2"/>
    <w:rsid w:val="00D60B69"/>
    <w:rsid w:val="00D67179"/>
    <w:rsid w:val="00D8143E"/>
    <w:rsid w:val="00DC4EAB"/>
    <w:rsid w:val="00DE2E16"/>
    <w:rsid w:val="00DE4A82"/>
    <w:rsid w:val="00DF023E"/>
    <w:rsid w:val="00E0499B"/>
    <w:rsid w:val="00E46683"/>
    <w:rsid w:val="00E91ECF"/>
    <w:rsid w:val="00EB316E"/>
    <w:rsid w:val="00EC68AE"/>
    <w:rsid w:val="00ED6B63"/>
    <w:rsid w:val="00EE2F37"/>
    <w:rsid w:val="00EF13B2"/>
    <w:rsid w:val="00EF37CF"/>
    <w:rsid w:val="00EF5983"/>
    <w:rsid w:val="00F00633"/>
    <w:rsid w:val="00F1488F"/>
    <w:rsid w:val="00F258F0"/>
    <w:rsid w:val="00F34CDD"/>
    <w:rsid w:val="00F71838"/>
    <w:rsid w:val="00FA56AC"/>
    <w:rsid w:val="00FA7505"/>
    <w:rsid w:val="00FC7275"/>
    <w:rsid w:val="00FD5D7F"/>
    <w:rsid w:val="00FF1FEE"/>
    <w:rsid w:val="0B539D7E"/>
    <w:rsid w:val="15DB7897"/>
    <w:rsid w:val="29B944FC"/>
    <w:rsid w:val="2BF36475"/>
    <w:rsid w:val="3EFB3104"/>
    <w:rsid w:val="4426F7B5"/>
    <w:rsid w:val="50AA6CA0"/>
    <w:rsid w:val="59C001F9"/>
    <w:rsid w:val="68A74690"/>
    <w:rsid w:val="6EFED0FC"/>
    <w:rsid w:val="73E66638"/>
    <w:rsid w:val="7EE45C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99157"/>
  <w15:chartTrackingRefBased/>
  <w15:docId w15:val="{1ACED13A-064E-4A03-822A-A7A458AA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D91"/>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D91"/>
    <w:rPr>
      <w:rFonts w:asciiTheme="minorHAnsi" w:hAnsiTheme="minorHAnsi"/>
    </w:rPr>
  </w:style>
  <w:style w:type="character" w:styleId="Hyperlink">
    <w:name w:val="Hyperlink"/>
    <w:basedOn w:val="DefaultParagraphFont"/>
    <w:uiPriority w:val="99"/>
    <w:unhideWhenUsed/>
    <w:rsid w:val="00C93D91"/>
    <w:rPr>
      <w:color w:val="0563C1" w:themeColor="hyperlink"/>
      <w:u w:val="single"/>
    </w:rPr>
  </w:style>
  <w:style w:type="paragraph" w:styleId="BalloonText">
    <w:name w:val="Balloon Text"/>
    <w:basedOn w:val="Normal"/>
    <w:link w:val="BalloonTextChar"/>
    <w:uiPriority w:val="99"/>
    <w:semiHidden/>
    <w:unhideWhenUsed/>
    <w:rsid w:val="00624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8B"/>
    <w:rPr>
      <w:rFonts w:ascii="Segoe UI" w:hAnsi="Segoe UI" w:cs="Segoe UI"/>
      <w:sz w:val="18"/>
      <w:szCs w:val="18"/>
    </w:rPr>
  </w:style>
  <w:style w:type="character" w:styleId="CommentReference">
    <w:name w:val="annotation reference"/>
    <w:basedOn w:val="DefaultParagraphFont"/>
    <w:uiPriority w:val="99"/>
    <w:semiHidden/>
    <w:unhideWhenUsed/>
    <w:rsid w:val="00593EA3"/>
    <w:rPr>
      <w:sz w:val="16"/>
      <w:szCs w:val="16"/>
    </w:rPr>
  </w:style>
  <w:style w:type="paragraph" w:styleId="CommentText">
    <w:name w:val="annotation text"/>
    <w:basedOn w:val="Normal"/>
    <w:link w:val="CommentTextChar"/>
    <w:uiPriority w:val="99"/>
    <w:semiHidden/>
    <w:unhideWhenUsed/>
    <w:rsid w:val="00593EA3"/>
    <w:pPr>
      <w:spacing w:line="240" w:lineRule="auto"/>
    </w:pPr>
    <w:rPr>
      <w:sz w:val="20"/>
      <w:szCs w:val="20"/>
    </w:rPr>
  </w:style>
  <w:style w:type="character" w:customStyle="1" w:styleId="CommentTextChar">
    <w:name w:val="Comment Text Char"/>
    <w:basedOn w:val="DefaultParagraphFont"/>
    <w:link w:val="CommentText"/>
    <w:uiPriority w:val="99"/>
    <w:semiHidden/>
    <w:rsid w:val="00593EA3"/>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93EA3"/>
    <w:rPr>
      <w:b/>
      <w:bCs/>
    </w:rPr>
  </w:style>
  <w:style w:type="character" w:customStyle="1" w:styleId="CommentSubjectChar">
    <w:name w:val="Comment Subject Char"/>
    <w:basedOn w:val="CommentTextChar"/>
    <w:link w:val="CommentSubject"/>
    <w:uiPriority w:val="99"/>
    <w:semiHidden/>
    <w:rsid w:val="00593EA3"/>
    <w:rPr>
      <w:rFonts w:asciiTheme="minorHAnsi" w:hAnsiTheme="minorHAnsi"/>
      <w:b/>
      <w:bCs/>
      <w:sz w:val="20"/>
      <w:szCs w:val="20"/>
    </w:rPr>
  </w:style>
  <w:style w:type="paragraph" w:styleId="Revision">
    <w:name w:val="Revision"/>
    <w:hidden/>
    <w:uiPriority w:val="99"/>
    <w:semiHidden/>
    <w:rsid w:val="00593EA3"/>
    <w:pPr>
      <w:spacing w:after="0" w:line="240" w:lineRule="auto"/>
    </w:pPr>
    <w:rPr>
      <w:rFonts w:asciiTheme="minorHAnsi" w:hAnsiTheme="minorHAnsi"/>
    </w:rPr>
  </w:style>
  <w:style w:type="paragraph" w:styleId="Footer">
    <w:name w:val="footer"/>
    <w:basedOn w:val="Normal"/>
    <w:link w:val="FooterChar"/>
    <w:uiPriority w:val="99"/>
    <w:semiHidden/>
    <w:unhideWhenUsed/>
    <w:rsid w:val="00B71E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1EEF"/>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etson.edu/" TargetMode="External"/><Relationship Id="rId5" Type="http://schemas.openxmlformats.org/officeDocument/2006/relationships/styles" Target="styles.xml"/><Relationship Id="rId10" Type="http://schemas.openxmlformats.org/officeDocument/2006/relationships/hyperlink" Target="http://www.stetson.edu/busine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EA85A2BBA8545B9A506B417C9121E" ma:contentTypeVersion="12" ma:contentTypeDescription="Create a new document." ma:contentTypeScope="" ma:versionID="5cc0c3a2519da1235b3061333648d342">
  <xsd:schema xmlns:xsd="http://www.w3.org/2001/XMLSchema" xmlns:xs="http://www.w3.org/2001/XMLSchema" xmlns:p="http://schemas.microsoft.com/office/2006/metadata/properties" xmlns:ns3="db9755e9-5cdb-4527-a460-df23eb829750" xmlns:ns4="cdfe9349-528b-466e-b3f9-f62992980d16" targetNamespace="http://schemas.microsoft.com/office/2006/metadata/properties" ma:root="true" ma:fieldsID="eddc7f7c40897dd621c83efd4e51a9fb" ns3:_="" ns4:_="">
    <xsd:import namespace="db9755e9-5cdb-4527-a460-df23eb829750"/>
    <xsd:import namespace="cdfe9349-528b-466e-b3f9-f62992980d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755e9-5cdb-4527-a460-df23eb829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e9349-528b-466e-b3f9-f62992980d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1DF82C-0C22-4BF8-A140-31A1E4F29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755e9-5cdb-4527-a460-df23eb829750"/>
    <ds:schemaRef ds:uri="cdfe9349-528b-466e-b3f9-f62992980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E97FB4-704B-4229-BA76-9157231E22A1}">
  <ds:schemaRefs>
    <ds:schemaRef ds:uri="http://schemas.microsoft.com/sharepoint/v3/contenttype/forms"/>
  </ds:schemaRefs>
</ds:datastoreItem>
</file>

<file path=customXml/itemProps3.xml><?xml version="1.0" encoding="utf-8"?>
<ds:datastoreItem xmlns:ds="http://schemas.openxmlformats.org/officeDocument/2006/customXml" ds:itemID="{9EBDCD00-5D50-4A1F-80B1-E44524AFB4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1766</Words>
  <Characters>10067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Yiorgos Bakamitsos</cp:lastModifiedBy>
  <cp:revision>2</cp:revision>
  <cp:lastPrinted>2023-03-10T14:33:00Z</cp:lastPrinted>
  <dcterms:created xsi:type="dcterms:W3CDTF">2023-03-16T17:20:00Z</dcterms:created>
  <dcterms:modified xsi:type="dcterms:W3CDTF">2023-03-16T17:20:00Z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0x01010070FEA85A2BBA8545B9A506B417C9121E</vt:lpwstr>
  </property>
  <property fmtid="{D5CDD505-2E9C-101B-9397-08002B2CF9AE}" pid="3" name="_AdHocReviewCycleID">
    <vt:i4>1292820520</vt:i4>
  </property>
  <property fmtid="{D5CDD505-2E9C-101B-9397-08002B2CF9AE}" pid="4" name="_NewReviewCycle">
    <vt:lpwstr/>
  </property>
  <property fmtid="{D5CDD505-2E9C-101B-9397-08002B2CF9AE}" pid="5" name="_EmailSubject">
    <vt:lpwstr>Approved Position Description</vt:lpwstr>
  </property>
  <property fmtid="{D5CDD505-2E9C-101B-9397-08002B2CF9AE}" pid="6" name="_AuthorEmail">
    <vt:lpwstr>bakamitsos@stetson.edu</vt:lpwstr>
  </property>
  <property fmtid="{D5CDD505-2E9C-101B-9397-08002B2CF9AE}" pid="7" name="_AuthorEmailDisplayName">
    <vt:lpwstr>Yiorgos Bakamitsos</vt:lpwstr>
  </property>
  <property fmtid="{D5CDD505-2E9C-101B-9397-08002B2CF9AE}" pid="8" name="_PreviousAdHocReviewCycleID">
    <vt:i4>-500686698</vt:i4>
  </property>
</Properties>
</file>