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MIGRATION AND ORGANIZATIONS CONFERENCE</w:t>
      </w:r>
    </w:p>
    <w:p w:rsidR="00000000" w:rsidDel="00000000" w:rsidP="00000000" w:rsidRDefault="00000000" w:rsidRPr="00000000" w14:paraId="00000002">
      <w:pPr>
        <w:jc w:val="center"/>
        <w:rPr>
          <w:b w:val="1"/>
          <w:sz w:val="26"/>
          <w:szCs w:val="26"/>
        </w:rPr>
      </w:pPr>
      <w:r w:rsidDel="00000000" w:rsidR="00000000" w:rsidRPr="00000000">
        <w:rPr>
          <w:b w:val="1"/>
          <w:sz w:val="20"/>
          <w:szCs w:val="20"/>
          <w:rtl w:val="0"/>
        </w:rPr>
        <w:t xml:space="preserve">The Wharton School, University of Pennsylvania</w:t>
      </w:r>
      <w:r w:rsidDel="00000000" w:rsidR="00000000" w:rsidRPr="00000000">
        <w:rPr>
          <w:rtl w:val="0"/>
        </w:rPr>
      </w:r>
    </w:p>
    <w:p w:rsidR="00000000" w:rsidDel="00000000" w:rsidP="00000000" w:rsidRDefault="00000000" w:rsidRPr="00000000" w14:paraId="00000003">
      <w:pPr>
        <w:jc w:val="center"/>
        <w:rPr>
          <w:b w:val="1"/>
          <w:sz w:val="26"/>
          <w:szCs w:val="26"/>
        </w:rPr>
      </w:pPr>
      <w:r w:rsidDel="00000000" w:rsidR="00000000" w:rsidRPr="00000000">
        <w:rPr>
          <w:b w:val="1"/>
          <w:sz w:val="26"/>
          <w:szCs w:val="26"/>
          <w:rtl w:val="0"/>
        </w:rPr>
        <w:t xml:space="preserve">October 21-22, 2022</w:t>
      </w:r>
    </w:p>
    <w:p w:rsidR="00000000" w:rsidDel="00000000" w:rsidP="00000000" w:rsidRDefault="00000000" w:rsidRPr="00000000" w14:paraId="00000004">
      <w:pPr>
        <w:jc w:val="center"/>
        <w:rPr>
          <w:b w:val="1"/>
          <w:sz w:val="26"/>
          <w:szCs w:val="26"/>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Call For Papers (Submit by August 15, 2022)</w:t>
      </w:r>
    </w:p>
    <w:p w:rsidR="00000000" w:rsidDel="00000000" w:rsidP="00000000" w:rsidRDefault="00000000" w:rsidRPr="00000000" w14:paraId="00000006">
      <w:pPr>
        <w:rPr>
          <w:b w:val="1"/>
          <w:sz w:val="20"/>
          <w:szCs w:val="2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14"/>
          <w:szCs w:val="14"/>
        </w:rPr>
      </w:pPr>
      <w:r w:rsidDel="00000000" w:rsidR="00000000" w:rsidRPr="00000000">
        <w:rPr>
          <w:sz w:val="20"/>
          <w:szCs w:val="20"/>
          <w:rtl w:val="0"/>
        </w:rPr>
        <w:t xml:space="preserve">Now in its fifth edition, this gathering seeks to advance rigorous research and strengthen the community of scholars at the intersection of migration and organizations. We invite papers linking migration to topics such as:</w:t>
      </w:r>
      <w:r w:rsidDel="00000000" w:rsidR="00000000" w:rsidRPr="00000000">
        <w:rPr>
          <w:rtl w:val="0"/>
        </w:rPr>
      </w:r>
    </w:p>
    <w:p w:rsidR="00000000" w:rsidDel="00000000" w:rsidP="00000000" w:rsidRDefault="00000000" w:rsidRPr="00000000" w14:paraId="00000008">
      <w:pPr>
        <w:ind w:left="720" w:hanging="360"/>
        <w:rPr>
          <w:sz w:val="20"/>
          <w:szCs w:val="20"/>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9">
      <w:pPr>
        <w:numPr>
          <w:ilvl w:val="0"/>
          <w:numId w:val="1"/>
        </w:numPr>
        <w:ind w:left="720" w:hanging="360"/>
        <w:rPr>
          <w:sz w:val="20"/>
          <w:szCs w:val="20"/>
          <w:u w:val="none"/>
        </w:rPr>
      </w:pPr>
      <w:r w:rsidDel="00000000" w:rsidR="00000000" w:rsidRPr="00000000">
        <w:rPr>
          <w:sz w:val="20"/>
          <w:szCs w:val="20"/>
          <w:rtl w:val="0"/>
        </w:rPr>
        <w:t xml:space="preserve">Organizational performance</w:t>
      </w:r>
    </w:p>
    <w:p w:rsidR="00000000" w:rsidDel="00000000" w:rsidP="00000000" w:rsidRDefault="00000000" w:rsidRPr="00000000" w14:paraId="0000000A">
      <w:pPr>
        <w:numPr>
          <w:ilvl w:val="0"/>
          <w:numId w:val="1"/>
        </w:numPr>
        <w:ind w:left="720" w:hanging="360"/>
        <w:rPr>
          <w:sz w:val="20"/>
          <w:szCs w:val="20"/>
          <w:u w:val="none"/>
        </w:rPr>
      </w:pPr>
      <w:r w:rsidDel="00000000" w:rsidR="00000000" w:rsidRPr="00000000">
        <w:rPr>
          <w:sz w:val="20"/>
          <w:szCs w:val="20"/>
          <w:rtl w:val="0"/>
        </w:rPr>
        <w:t xml:space="preserve">Employee mobility</w:t>
      </w:r>
      <w:r w:rsidDel="00000000" w:rsidR="00000000" w:rsidRPr="00000000">
        <w:rPr>
          <w:rtl w:val="0"/>
        </w:rPr>
      </w:r>
    </w:p>
    <w:p w:rsidR="00000000" w:rsidDel="00000000" w:rsidP="00000000" w:rsidRDefault="00000000" w:rsidRPr="00000000" w14:paraId="0000000B">
      <w:pPr>
        <w:numPr>
          <w:ilvl w:val="0"/>
          <w:numId w:val="1"/>
        </w:numPr>
        <w:ind w:left="720" w:hanging="360"/>
        <w:rPr>
          <w:sz w:val="20"/>
          <w:szCs w:val="20"/>
          <w:u w:val="none"/>
        </w:rPr>
      </w:pPr>
      <w:r w:rsidDel="00000000" w:rsidR="00000000" w:rsidRPr="00000000">
        <w:rPr>
          <w:sz w:val="20"/>
          <w:szCs w:val="20"/>
          <w:rtl w:val="0"/>
        </w:rPr>
        <w:t xml:space="preserve">M</w:t>
      </w:r>
      <w:r w:rsidDel="00000000" w:rsidR="00000000" w:rsidRPr="00000000">
        <w:rPr>
          <w:sz w:val="20"/>
          <w:szCs w:val="20"/>
          <w:rtl w:val="0"/>
        </w:rPr>
        <w:t xml:space="preserve">anagement of individuals and teams</w:t>
      </w:r>
      <w:r w:rsidDel="00000000" w:rsidR="00000000" w:rsidRPr="00000000">
        <w:rPr>
          <w:rtl w:val="0"/>
        </w:rPr>
      </w:r>
    </w:p>
    <w:p w:rsidR="00000000" w:rsidDel="00000000" w:rsidP="00000000" w:rsidRDefault="00000000" w:rsidRPr="00000000" w14:paraId="0000000C">
      <w:pPr>
        <w:numPr>
          <w:ilvl w:val="0"/>
          <w:numId w:val="1"/>
        </w:numPr>
        <w:ind w:left="720" w:hanging="360"/>
        <w:rPr>
          <w:sz w:val="20"/>
          <w:szCs w:val="20"/>
          <w:u w:val="none"/>
        </w:rPr>
      </w:pPr>
      <w:r w:rsidDel="00000000" w:rsidR="00000000" w:rsidRPr="00000000">
        <w:rPr>
          <w:sz w:val="20"/>
          <w:szCs w:val="20"/>
          <w:rtl w:val="0"/>
        </w:rPr>
        <w:t xml:space="preserve">Diversity and inclusion in organizations</w:t>
      </w:r>
      <w:r w:rsidDel="00000000" w:rsidR="00000000" w:rsidRPr="00000000">
        <w:rPr>
          <w:rtl w:val="0"/>
        </w:rPr>
      </w:r>
    </w:p>
    <w:p w:rsidR="00000000" w:rsidDel="00000000" w:rsidP="00000000" w:rsidRDefault="00000000" w:rsidRPr="00000000" w14:paraId="0000000D">
      <w:pPr>
        <w:numPr>
          <w:ilvl w:val="0"/>
          <w:numId w:val="1"/>
        </w:numPr>
        <w:ind w:left="720" w:hanging="360"/>
        <w:rPr>
          <w:sz w:val="20"/>
          <w:szCs w:val="20"/>
          <w:u w:val="none"/>
        </w:rPr>
      </w:pPr>
      <w:r w:rsidDel="00000000" w:rsidR="00000000" w:rsidRPr="00000000">
        <w:rPr>
          <w:sz w:val="20"/>
          <w:szCs w:val="20"/>
          <w:rtl w:val="0"/>
        </w:rPr>
        <w:t xml:space="preserve">F</w:t>
      </w:r>
      <w:r w:rsidDel="00000000" w:rsidR="00000000" w:rsidRPr="00000000">
        <w:rPr>
          <w:sz w:val="20"/>
          <w:szCs w:val="20"/>
          <w:rtl w:val="0"/>
        </w:rPr>
        <w:t xml:space="preserve">irm capabilities</w:t>
      </w:r>
      <w:r w:rsidDel="00000000" w:rsidR="00000000" w:rsidRPr="00000000">
        <w:rPr>
          <w:rtl w:val="0"/>
        </w:rPr>
      </w:r>
    </w:p>
    <w:p w:rsidR="00000000" w:rsidDel="00000000" w:rsidP="00000000" w:rsidRDefault="00000000" w:rsidRPr="00000000" w14:paraId="0000000E">
      <w:pPr>
        <w:numPr>
          <w:ilvl w:val="0"/>
          <w:numId w:val="1"/>
        </w:numPr>
        <w:ind w:left="720" w:hanging="360"/>
        <w:rPr>
          <w:sz w:val="20"/>
          <w:szCs w:val="20"/>
          <w:u w:val="none"/>
        </w:rPr>
      </w:pPr>
      <w:r w:rsidDel="00000000" w:rsidR="00000000" w:rsidRPr="00000000">
        <w:rPr>
          <w:sz w:val="20"/>
          <w:szCs w:val="20"/>
          <w:rtl w:val="0"/>
        </w:rPr>
        <w:t xml:space="preserve">Entrepreneurship</w:t>
      </w:r>
    </w:p>
    <w:p w:rsidR="00000000" w:rsidDel="00000000" w:rsidP="00000000" w:rsidRDefault="00000000" w:rsidRPr="00000000" w14:paraId="0000000F">
      <w:pPr>
        <w:numPr>
          <w:ilvl w:val="0"/>
          <w:numId w:val="1"/>
        </w:numPr>
        <w:ind w:left="720" w:hanging="360"/>
        <w:rPr>
          <w:sz w:val="20"/>
          <w:szCs w:val="20"/>
          <w:u w:val="none"/>
        </w:rPr>
      </w:pPr>
      <w:r w:rsidDel="00000000" w:rsidR="00000000" w:rsidRPr="00000000">
        <w:rPr>
          <w:sz w:val="20"/>
          <w:szCs w:val="20"/>
          <w:rtl w:val="0"/>
        </w:rPr>
        <w:t xml:space="preserve">Corporate strategy</w:t>
      </w:r>
      <w:r w:rsidDel="00000000" w:rsidR="00000000" w:rsidRPr="00000000">
        <w:rPr>
          <w:rtl w:val="0"/>
        </w:rPr>
      </w:r>
    </w:p>
    <w:p w:rsidR="00000000" w:rsidDel="00000000" w:rsidP="00000000" w:rsidRDefault="00000000" w:rsidRPr="00000000" w14:paraId="00000010">
      <w:pPr>
        <w:numPr>
          <w:ilvl w:val="0"/>
          <w:numId w:val="1"/>
        </w:numPr>
        <w:ind w:left="720" w:hanging="360"/>
        <w:rPr>
          <w:sz w:val="20"/>
          <w:szCs w:val="20"/>
          <w:u w:val="none"/>
        </w:rPr>
      </w:pPr>
      <w:r w:rsidDel="00000000" w:rsidR="00000000" w:rsidRPr="00000000">
        <w:rPr>
          <w:sz w:val="20"/>
          <w:szCs w:val="20"/>
          <w:rtl w:val="0"/>
        </w:rPr>
        <w:t xml:space="preserve">Organizational innovation</w:t>
      </w:r>
      <w:r w:rsidDel="00000000" w:rsidR="00000000" w:rsidRPr="00000000">
        <w:rPr>
          <w:rtl w:val="0"/>
        </w:rPr>
      </w:r>
    </w:p>
    <w:p w:rsidR="00000000" w:rsidDel="00000000" w:rsidP="00000000" w:rsidRDefault="00000000" w:rsidRPr="00000000" w14:paraId="00000011">
      <w:pPr>
        <w:numPr>
          <w:ilvl w:val="0"/>
          <w:numId w:val="1"/>
        </w:numPr>
        <w:ind w:left="720" w:hanging="360"/>
        <w:rPr>
          <w:sz w:val="20"/>
          <w:szCs w:val="20"/>
          <w:u w:val="none"/>
        </w:rPr>
      </w:pPr>
      <w:r w:rsidDel="00000000" w:rsidR="00000000" w:rsidRPr="00000000">
        <w:rPr>
          <w:sz w:val="20"/>
          <w:szCs w:val="20"/>
          <w:rtl w:val="0"/>
        </w:rPr>
        <w:t xml:space="preserve">Global strategy</w:t>
      </w:r>
    </w:p>
    <w:p w:rsidR="00000000" w:rsidDel="00000000" w:rsidP="00000000" w:rsidRDefault="00000000" w:rsidRPr="00000000" w14:paraId="00000012">
      <w:pPr>
        <w:numPr>
          <w:ilvl w:val="0"/>
          <w:numId w:val="1"/>
        </w:numPr>
        <w:ind w:left="720" w:hanging="360"/>
        <w:rPr>
          <w:sz w:val="20"/>
          <w:szCs w:val="20"/>
          <w:u w:val="none"/>
        </w:rPr>
      </w:pPr>
      <w:r w:rsidDel="00000000" w:rsidR="00000000" w:rsidRPr="00000000">
        <w:rPr>
          <w:sz w:val="20"/>
          <w:szCs w:val="20"/>
          <w:rtl w:val="0"/>
        </w:rPr>
        <w:t xml:space="preserve">Firm location choice </w:t>
      </w:r>
    </w:p>
    <w:p w:rsidR="00000000" w:rsidDel="00000000" w:rsidP="00000000" w:rsidRDefault="00000000" w:rsidRPr="00000000" w14:paraId="00000013">
      <w:pPr>
        <w:numPr>
          <w:ilvl w:val="0"/>
          <w:numId w:val="1"/>
        </w:numPr>
        <w:ind w:left="720" w:hanging="360"/>
        <w:rPr>
          <w:sz w:val="20"/>
          <w:szCs w:val="20"/>
          <w:u w:val="none"/>
        </w:rPr>
      </w:pPr>
      <w:r w:rsidDel="00000000" w:rsidR="00000000" w:rsidRPr="00000000">
        <w:rPr>
          <w:sz w:val="20"/>
          <w:szCs w:val="20"/>
          <w:rtl w:val="0"/>
        </w:rPr>
        <w:t xml:space="preserve">W</w:t>
      </w:r>
      <w:r w:rsidDel="00000000" w:rsidR="00000000" w:rsidRPr="00000000">
        <w:rPr>
          <w:sz w:val="20"/>
          <w:szCs w:val="20"/>
          <w:rtl w:val="0"/>
        </w:rPr>
        <w:t xml:space="preserve">ork practices</w:t>
      </w:r>
    </w:p>
    <w:p w:rsidR="00000000" w:rsidDel="00000000" w:rsidP="00000000" w:rsidRDefault="00000000" w:rsidRPr="00000000" w14:paraId="00000014">
      <w:pPr>
        <w:numPr>
          <w:ilvl w:val="0"/>
          <w:numId w:val="1"/>
        </w:numPr>
        <w:ind w:left="720" w:hanging="360"/>
        <w:rPr>
          <w:sz w:val="20"/>
          <w:szCs w:val="20"/>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0"/>
          <w:szCs w:val="20"/>
          <w:rtl w:val="0"/>
        </w:rPr>
        <w:t xml:space="preserve">Teams</w:t>
      </w:r>
    </w:p>
    <w:p w:rsidR="00000000" w:rsidDel="00000000" w:rsidP="00000000" w:rsidRDefault="00000000" w:rsidRPr="00000000" w14:paraId="00000015">
      <w:pPr>
        <w:rPr>
          <w:sz w:val="20"/>
          <w:szCs w:val="20"/>
        </w:rPr>
      </w:pPr>
      <w:r w:rsidDel="00000000" w:rsidR="00000000" w:rsidRPr="00000000">
        <w:rPr>
          <w:sz w:val="20"/>
          <w:szCs w:val="20"/>
          <w:rtl w:val="0"/>
        </w:rPr>
        <w:t xml:space="preserve"> </w:t>
      </w:r>
    </w:p>
    <w:p w:rsidR="00000000" w:rsidDel="00000000" w:rsidP="00000000" w:rsidRDefault="00000000" w:rsidRPr="00000000" w14:paraId="00000016">
      <w:pPr>
        <w:rPr>
          <w:sz w:val="20"/>
          <w:szCs w:val="20"/>
        </w:rPr>
      </w:pPr>
      <w:r w:rsidDel="00000000" w:rsidR="00000000" w:rsidRPr="00000000">
        <w:rPr>
          <w:sz w:val="20"/>
          <w:szCs w:val="20"/>
          <w:rtl w:val="0"/>
        </w:rPr>
        <w:t xml:space="preserve">Any other topic at the intersection of migration and organizations is appropriate.</w:t>
      </w:r>
      <w:r w:rsidDel="00000000" w:rsidR="00000000" w:rsidRPr="00000000">
        <w:rPr>
          <w:sz w:val="20"/>
          <w:szCs w:val="20"/>
          <w:rtl w:val="0"/>
        </w:rPr>
        <w:t xml:space="preserve"> However, this conference is NOT for research focused exclusively on policy or other topics in which the role of the organization or firm is not apparent. Scholars from all fields and disciplines are encouraged to submit.</w:t>
      </w:r>
    </w:p>
    <w:p w:rsidR="00000000" w:rsidDel="00000000" w:rsidP="00000000" w:rsidRDefault="00000000" w:rsidRPr="00000000" w14:paraId="00000017">
      <w:pPr>
        <w:rPr>
          <w:sz w:val="20"/>
          <w:szCs w:val="20"/>
        </w:rPr>
      </w:pPr>
      <w:r w:rsidDel="00000000" w:rsidR="00000000" w:rsidRPr="00000000">
        <w:rPr>
          <w:sz w:val="20"/>
          <w:szCs w:val="20"/>
          <w:rtl w:val="0"/>
        </w:rPr>
        <w:t xml:space="preserve"> </w:t>
      </w:r>
    </w:p>
    <w:p w:rsidR="00000000" w:rsidDel="00000000" w:rsidP="00000000" w:rsidRDefault="00000000" w:rsidRPr="00000000" w14:paraId="00000018">
      <w:pPr>
        <w:rPr>
          <w:i w:val="1"/>
          <w:sz w:val="20"/>
          <w:szCs w:val="20"/>
        </w:rPr>
      </w:pPr>
      <w:r w:rsidDel="00000000" w:rsidR="00000000" w:rsidRPr="00000000">
        <w:rPr>
          <w:sz w:val="20"/>
          <w:szCs w:val="20"/>
          <w:rtl w:val="0"/>
        </w:rPr>
        <w:t xml:space="preserve">Please submit papers by August 15, 2022 to </w:t>
      </w:r>
      <w:r w:rsidDel="00000000" w:rsidR="00000000" w:rsidRPr="00000000">
        <w:rPr>
          <w:color w:val="0563c1"/>
          <w:sz w:val="20"/>
          <w:szCs w:val="20"/>
          <w:rtl w:val="0"/>
        </w:rPr>
        <w:t xml:space="preserve">immigration@wharton.upenn.edu</w:t>
      </w:r>
      <w:r w:rsidDel="00000000" w:rsidR="00000000" w:rsidRPr="00000000">
        <w:rPr>
          <w:sz w:val="20"/>
          <w:szCs w:val="20"/>
          <w:rtl w:val="0"/>
        </w:rPr>
        <w:t xml:space="preserve">. Accepted presenters will be notified by late August and should be available to present </w:t>
      </w:r>
      <w:r w:rsidDel="00000000" w:rsidR="00000000" w:rsidRPr="00000000">
        <w:rPr>
          <w:b w:val="1"/>
          <w:sz w:val="20"/>
          <w:szCs w:val="20"/>
          <w:rtl w:val="0"/>
        </w:rPr>
        <w:t xml:space="preserve">in person</w:t>
      </w:r>
      <w:r w:rsidDel="00000000" w:rsidR="00000000" w:rsidRPr="00000000">
        <w:rPr>
          <w:sz w:val="20"/>
          <w:szCs w:val="20"/>
          <w:rtl w:val="0"/>
        </w:rPr>
        <w:t xml:space="preserve">. </w:t>
      </w:r>
      <w:r w:rsidDel="00000000" w:rsidR="00000000" w:rsidRPr="00000000">
        <w:rPr>
          <w:i w:val="1"/>
          <w:sz w:val="20"/>
          <w:szCs w:val="20"/>
          <w:rtl w:val="0"/>
        </w:rPr>
        <w:t xml:space="preserve">If you would like to participate in the conference without submitting a paper, please email the above address with an expression of interest. We will prioritize slots for presenters but may have space for non-presenters.</w:t>
      </w:r>
    </w:p>
    <w:p w:rsidR="00000000" w:rsidDel="00000000" w:rsidP="00000000" w:rsidRDefault="00000000" w:rsidRPr="00000000" w14:paraId="00000019">
      <w:pPr>
        <w:rPr>
          <w:i w:val="1"/>
          <w:sz w:val="20"/>
          <w:szCs w:val="20"/>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Keynote Speakers</w:t>
      </w:r>
    </w:p>
    <w:p w:rsidR="00000000" w:rsidDel="00000000" w:rsidP="00000000" w:rsidRDefault="00000000" w:rsidRPr="00000000" w14:paraId="0000001B">
      <w:pPr>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169545</wp:posOffset>
            </wp:positionV>
            <wp:extent cx="1736078" cy="2180006"/>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24198" r="22756" t="0"/>
                    <a:stretch>
                      <a:fillRect/>
                    </a:stretch>
                  </pic:blipFill>
                  <pic:spPr>
                    <a:xfrm>
                      <a:off x="0" y="0"/>
                      <a:ext cx="1736078" cy="21800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176213</wp:posOffset>
            </wp:positionV>
            <wp:extent cx="1647919" cy="219196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47919" cy="21919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180975</wp:posOffset>
            </wp:positionV>
            <wp:extent cx="1451755" cy="218953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51755" cy="2189531"/>
                    </a:xfrm>
                    <a:prstGeom prst="rect"/>
                    <a:ln/>
                  </pic:spPr>
                </pic:pic>
              </a:graphicData>
            </a:graphic>
          </wp:anchor>
        </w:drawing>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b w:val="1"/>
          <w:sz w:val="20"/>
          <w:szCs w:val="20"/>
        </w:rPr>
      </w:pPr>
      <w:r w:rsidDel="00000000" w:rsidR="00000000" w:rsidRPr="00000000">
        <w:rPr>
          <w:rtl w:val="0"/>
        </w:rPr>
      </w:r>
    </w:p>
    <w:p w:rsidR="00000000" w:rsidDel="00000000" w:rsidP="00000000" w:rsidRDefault="00000000" w:rsidRPr="00000000" w14:paraId="0000001E">
      <w:pPr>
        <w:rPr>
          <w:b w:val="1"/>
          <w:sz w:val="20"/>
          <w:szCs w:val="20"/>
        </w:rPr>
      </w:pPr>
      <w:r w:rsidDel="00000000" w:rsidR="00000000" w:rsidRPr="00000000">
        <w:rPr>
          <w:rtl w:val="0"/>
        </w:rPr>
      </w:r>
    </w:p>
    <w:p w:rsidR="00000000" w:rsidDel="00000000" w:rsidP="00000000" w:rsidRDefault="00000000" w:rsidRPr="00000000" w14:paraId="0000001F">
      <w:pPr>
        <w:rPr>
          <w:b w:val="1"/>
          <w:sz w:val="20"/>
          <w:szCs w:val="20"/>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rtl w:val="0"/>
        </w:rPr>
      </w:r>
    </w:p>
    <w:p w:rsidR="00000000" w:rsidDel="00000000" w:rsidP="00000000" w:rsidRDefault="00000000" w:rsidRPr="00000000" w14:paraId="00000021">
      <w:pPr>
        <w:rPr>
          <w:b w:val="1"/>
          <w:sz w:val="20"/>
          <w:szCs w:val="20"/>
        </w:rPr>
      </w:pPr>
      <w:r w:rsidDel="00000000" w:rsidR="00000000" w:rsidRPr="00000000">
        <w:rPr>
          <w:rtl w:val="0"/>
        </w:rPr>
      </w:r>
    </w:p>
    <w:p w:rsidR="00000000" w:rsidDel="00000000" w:rsidP="00000000" w:rsidRDefault="00000000" w:rsidRPr="00000000" w14:paraId="00000022">
      <w:pPr>
        <w:rPr>
          <w:b w:val="1"/>
          <w:sz w:val="20"/>
          <w:szCs w:val="20"/>
        </w:rPr>
      </w:pPr>
      <w:r w:rsidDel="00000000" w:rsidR="00000000" w:rsidRPr="00000000">
        <w:rPr>
          <w:rtl w:val="0"/>
        </w:rPr>
      </w:r>
    </w:p>
    <w:p w:rsidR="00000000" w:rsidDel="00000000" w:rsidP="00000000" w:rsidRDefault="00000000" w:rsidRPr="00000000" w14:paraId="00000023">
      <w:pPr>
        <w:rPr>
          <w:b w:val="1"/>
          <w:sz w:val="20"/>
          <w:szCs w:val="20"/>
        </w:rPr>
      </w:pPr>
      <w:r w:rsidDel="00000000" w:rsidR="00000000" w:rsidRPr="00000000">
        <w:rPr>
          <w:rtl w:val="0"/>
        </w:rPr>
      </w:r>
    </w:p>
    <w:p w:rsidR="00000000" w:rsidDel="00000000" w:rsidP="00000000" w:rsidRDefault="00000000" w:rsidRPr="00000000" w14:paraId="00000024">
      <w:pPr>
        <w:rPr>
          <w:b w:val="1"/>
          <w:sz w:val="20"/>
          <w:szCs w:val="20"/>
        </w:rPr>
      </w:pPr>
      <w:r w:rsidDel="00000000" w:rsidR="00000000" w:rsidRPr="00000000">
        <w:rPr>
          <w:rtl w:val="0"/>
        </w:rPr>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rPr>
      </w:pPr>
      <w:r w:rsidDel="00000000" w:rsidR="00000000" w:rsidRPr="00000000">
        <w:rPr>
          <w:rtl w:val="0"/>
        </w:rPr>
      </w:r>
    </w:p>
    <w:p w:rsidR="00000000" w:rsidDel="00000000" w:rsidP="00000000" w:rsidRDefault="00000000" w:rsidRPr="00000000" w14:paraId="00000027">
      <w:pPr>
        <w:rPr>
          <w:b w:val="1"/>
          <w:sz w:val="20"/>
          <w:szCs w:val="20"/>
        </w:rPr>
      </w:pPr>
      <w:r w:rsidDel="00000000" w:rsidR="00000000" w:rsidRPr="00000000">
        <w:rPr>
          <w:rtl w:val="0"/>
        </w:rPr>
      </w:r>
    </w:p>
    <w:p w:rsidR="00000000" w:rsidDel="00000000" w:rsidP="00000000" w:rsidRDefault="00000000" w:rsidRPr="00000000" w14:paraId="00000028">
      <w:pPr>
        <w:rPr>
          <w:b w:val="1"/>
          <w:sz w:val="20"/>
          <w:szCs w:val="20"/>
        </w:rPr>
      </w:pPr>
      <w:r w:rsidDel="00000000" w:rsidR="00000000" w:rsidRPr="00000000">
        <w:rPr>
          <w:rtl w:val="0"/>
        </w:rPr>
      </w:r>
    </w:p>
    <w:p w:rsidR="00000000" w:rsidDel="00000000" w:rsidP="00000000" w:rsidRDefault="00000000" w:rsidRPr="00000000" w14:paraId="00000029">
      <w:pPr>
        <w:rPr>
          <w:b w:val="1"/>
          <w:sz w:val="20"/>
          <w:szCs w:val="20"/>
        </w:rPr>
      </w:pPr>
      <w:r w:rsidDel="00000000" w:rsidR="00000000" w:rsidRPr="00000000">
        <w:rPr>
          <w:rtl w:val="0"/>
        </w:rPr>
      </w:r>
    </w:p>
    <w:p w:rsidR="00000000" w:rsidDel="00000000" w:rsidP="00000000" w:rsidRDefault="00000000" w:rsidRPr="00000000" w14:paraId="0000002A">
      <w:pPr>
        <w:rPr>
          <w:b w:val="1"/>
          <w:sz w:val="20"/>
          <w:szCs w:val="20"/>
        </w:rPr>
      </w:pPr>
      <w:r w:rsidDel="00000000" w:rsidR="00000000" w:rsidRPr="00000000">
        <w:rPr>
          <w:b w:val="1"/>
          <w:sz w:val="20"/>
          <w:szCs w:val="20"/>
          <w:rtl w:val="0"/>
        </w:rPr>
        <w:t xml:space="preserve">Leah Boustan (Princeton) &amp; Ran Abramitzky (Stanford)</w:t>
        <w:tab/>
        <w:t xml:space="preserve">Irfhan Rawji</w:t>
      </w:r>
    </w:p>
    <w:p w:rsidR="00000000" w:rsidDel="00000000" w:rsidP="00000000" w:rsidRDefault="00000000" w:rsidRPr="00000000" w14:paraId="0000002B">
      <w:pPr>
        <w:rPr>
          <w:b w:val="1"/>
          <w:sz w:val="20"/>
          <w:szCs w:val="20"/>
        </w:rPr>
      </w:pPr>
      <w:r w:rsidDel="00000000" w:rsidR="00000000" w:rsidRPr="00000000">
        <w:rPr>
          <w:b w:val="1"/>
          <w:sz w:val="20"/>
          <w:szCs w:val="20"/>
          <w:rtl w:val="0"/>
        </w:rPr>
        <w:t xml:space="preserve">Authors of </w:t>
      </w:r>
      <w:hyperlink r:id="rId9">
        <w:r w:rsidDel="00000000" w:rsidR="00000000" w:rsidRPr="00000000">
          <w:rPr>
            <w:b w:val="1"/>
            <w:color w:val="1155cc"/>
            <w:sz w:val="20"/>
            <w:szCs w:val="20"/>
            <w:u w:val="single"/>
            <w:rtl w:val="0"/>
          </w:rPr>
          <w:t xml:space="preserve">Streets of Gold</w:t>
        </w:r>
      </w:hyperlink>
      <w:r w:rsidDel="00000000" w:rsidR="00000000" w:rsidRPr="00000000">
        <w:rPr>
          <w:b w:val="1"/>
          <w:sz w:val="20"/>
          <w:szCs w:val="20"/>
          <w:rtl w:val="0"/>
        </w:rPr>
        <w:tab/>
        <w:tab/>
        <w:tab/>
        <w:tab/>
        <w:tab/>
        <w:t xml:space="preserve">Founder &amp; Executive Chair</w:t>
      </w:r>
    </w:p>
    <w:p w:rsidR="00000000" w:rsidDel="00000000" w:rsidP="00000000" w:rsidRDefault="00000000" w:rsidRPr="00000000" w14:paraId="0000002C">
      <w:pPr>
        <w:rPr/>
      </w:pPr>
      <w:r w:rsidDel="00000000" w:rsidR="00000000" w:rsidRPr="00000000">
        <w:rPr>
          <w:b w:val="1"/>
          <w:sz w:val="20"/>
          <w:szCs w:val="20"/>
          <w:rtl w:val="0"/>
        </w:rPr>
        <w:t xml:space="preserve">(All participants will receive a free copy of the book!)</w:t>
        <w:tab/>
        <w:tab/>
      </w:r>
      <w:hyperlink r:id="rId10">
        <w:r w:rsidDel="00000000" w:rsidR="00000000" w:rsidRPr="00000000">
          <w:rPr>
            <w:b w:val="1"/>
            <w:color w:val="1155cc"/>
            <w:sz w:val="20"/>
            <w:szCs w:val="20"/>
            <w:u w:val="single"/>
            <w:rtl w:val="0"/>
          </w:rPr>
          <w:t xml:space="preserve">MOBSQUAD</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mobsquad.io/" TargetMode="External"/><Relationship Id="rId9" Type="http://schemas.openxmlformats.org/officeDocument/2006/relationships/hyperlink" Target="https://www.publicaffairsbooks.com/titles/ran-abramitzky/streets-of-gold/9781541797826/"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